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94E" w:rsidRPr="00B92AAC" w:rsidRDefault="00FE294E" w:rsidP="00FE294E">
      <w:pPr>
        <w:jc w:val="center"/>
        <w:rPr>
          <w:b/>
        </w:rPr>
      </w:pPr>
      <w:r w:rsidRPr="00B92AAC">
        <w:rPr>
          <w:b/>
        </w:rPr>
        <w:t>John B. Murdock</w:t>
      </w:r>
    </w:p>
    <w:p w:rsidR="00FE294E" w:rsidRPr="00B92AAC" w:rsidRDefault="00FE294E" w:rsidP="00FE294E">
      <w:pPr>
        <w:jc w:val="center"/>
        <w:rPr>
          <w:b/>
        </w:rPr>
      </w:pPr>
      <w:r w:rsidRPr="00B92AAC">
        <w:rPr>
          <w:b/>
        </w:rPr>
        <w:t>Attorney at Law</w:t>
      </w:r>
    </w:p>
    <w:p w:rsidR="00FE294E" w:rsidRPr="00B92AAC" w:rsidRDefault="00FE294E" w:rsidP="00FE294E">
      <w:pPr>
        <w:jc w:val="center"/>
        <w:rPr>
          <w:b/>
        </w:rPr>
      </w:pPr>
      <w:r w:rsidRPr="00B92AAC">
        <w:rPr>
          <w:b/>
        </w:rPr>
        <w:t>1209 Pine Street</w:t>
      </w:r>
    </w:p>
    <w:p w:rsidR="00FE294E" w:rsidRPr="00B92AAC" w:rsidRDefault="00FE294E" w:rsidP="00FE294E">
      <w:pPr>
        <w:jc w:val="center"/>
        <w:rPr>
          <w:b/>
        </w:rPr>
      </w:pPr>
      <w:r w:rsidRPr="00B92AAC">
        <w:rPr>
          <w:b/>
        </w:rPr>
        <w:t>Santa Monica, CA 90405</w:t>
      </w:r>
    </w:p>
    <w:p w:rsidR="00FE294E" w:rsidRPr="00B92AAC" w:rsidRDefault="00FE294E" w:rsidP="00FE294E">
      <w:pPr>
        <w:jc w:val="center"/>
      </w:pPr>
      <w:r w:rsidRPr="00B92AAC">
        <w:t>Tel 310-450-1859</w:t>
      </w:r>
    </w:p>
    <w:p w:rsidR="00350B3C" w:rsidRPr="00B92AAC" w:rsidRDefault="00FE294E" w:rsidP="00FE294E">
      <w:pPr>
        <w:jc w:val="center"/>
      </w:pPr>
      <w:r w:rsidRPr="00B92AAC">
        <w:t>Fax 310-450-9818</w:t>
      </w:r>
    </w:p>
    <w:p w:rsidR="00AF13E6" w:rsidRPr="00AF13E6" w:rsidRDefault="00B00CF1" w:rsidP="00FE294E">
      <w:pPr>
        <w:jc w:val="center"/>
        <w:rPr>
          <w:rFonts w:asciiTheme="majorHAnsi" w:hAnsiTheme="majorHAnsi"/>
        </w:rPr>
      </w:pPr>
      <w:r>
        <w:t>January 9, 2015</w:t>
      </w:r>
    </w:p>
    <w:p w:rsidR="005C6756" w:rsidRDefault="005C6756" w:rsidP="005C6756">
      <w:pPr>
        <w:rPr>
          <w:rFonts w:ascii="Calibri" w:hAnsi="Calibri"/>
          <w:color w:val="000000"/>
          <w:szCs w:val="16"/>
        </w:rPr>
      </w:pPr>
    </w:p>
    <w:p w:rsidR="005C6756" w:rsidRPr="005C6756" w:rsidRDefault="005C6756" w:rsidP="005C6756">
      <w:pPr>
        <w:rPr>
          <w:rFonts w:ascii="Times" w:hAnsi="Times"/>
          <w:szCs w:val="20"/>
        </w:rPr>
      </w:pPr>
    </w:p>
    <w:p w:rsidR="007F76AA" w:rsidRDefault="007F76AA" w:rsidP="00832081">
      <w:pPr>
        <w:shd w:val="clear" w:color="auto" w:fill="FFFFFF"/>
        <w:spacing w:line="213" w:lineRule="atLeast"/>
        <w:rPr>
          <w:rFonts w:ascii="Calibri" w:hAnsi="Calibri"/>
          <w:color w:val="444444"/>
          <w:sz w:val="22"/>
          <w:szCs w:val="15"/>
        </w:rPr>
      </w:pPr>
    </w:p>
    <w:p w:rsidR="00B00CF1" w:rsidRDefault="00B00CF1">
      <w:pPr>
        <w:rPr>
          <w:rFonts w:ascii="Calibri" w:hAnsi="Calibri"/>
          <w:color w:val="444444"/>
          <w:szCs w:val="15"/>
        </w:rPr>
      </w:pPr>
      <w:r>
        <w:rPr>
          <w:rFonts w:ascii="Calibri" w:hAnsi="Calibri"/>
          <w:color w:val="444444"/>
          <w:szCs w:val="15"/>
        </w:rPr>
        <w:t>WEST LOS ANGELES PLANNING COMMISSION</w:t>
      </w:r>
    </w:p>
    <w:p w:rsidR="00B00CF1" w:rsidRDefault="00B00CF1">
      <w:pPr>
        <w:rPr>
          <w:rFonts w:ascii="Calibri" w:hAnsi="Calibri"/>
          <w:color w:val="444444"/>
          <w:szCs w:val="15"/>
        </w:rPr>
      </w:pPr>
      <w:r>
        <w:rPr>
          <w:rFonts w:ascii="Calibri" w:hAnsi="Calibri"/>
          <w:color w:val="444444"/>
          <w:szCs w:val="15"/>
        </w:rPr>
        <w:t>City Hall, 200 North Spring Street, Room 272</w:t>
      </w:r>
    </w:p>
    <w:p w:rsidR="00B00CF1" w:rsidRDefault="00B00CF1">
      <w:pPr>
        <w:rPr>
          <w:rFonts w:ascii="Calibri" w:hAnsi="Calibri"/>
          <w:color w:val="444444"/>
          <w:szCs w:val="15"/>
        </w:rPr>
      </w:pPr>
      <w:r>
        <w:rPr>
          <w:rFonts w:ascii="Calibri" w:hAnsi="Calibri"/>
          <w:color w:val="444444"/>
          <w:szCs w:val="15"/>
        </w:rPr>
        <w:t>Los Angeles, California   90012</w:t>
      </w:r>
    </w:p>
    <w:p w:rsidR="00B00CF1" w:rsidRDefault="00B00CF1">
      <w:pPr>
        <w:rPr>
          <w:rFonts w:ascii="Calibri" w:hAnsi="Calibri"/>
          <w:color w:val="444444"/>
          <w:szCs w:val="15"/>
        </w:rPr>
      </w:pPr>
    </w:p>
    <w:p w:rsidR="00B00CF1" w:rsidRDefault="00B00CF1" w:rsidP="00B00CF1">
      <w:pPr>
        <w:jc w:val="center"/>
        <w:rPr>
          <w:rFonts w:ascii="Calibri" w:hAnsi="Calibri"/>
          <w:color w:val="444444"/>
          <w:szCs w:val="15"/>
        </w:rPr>
      </w:pPr>
      <w:r>
        <w:rPr>
          <w:rFonts w:ascii="Calibri" w:hAnsi="Calibri"/>
          <w:color w:val="444444"/>
          <w:szCs w:val="15"/>
        </w:rPr>
        <w:t xml:space="preserve">Re: </w:t>
      </w:r>
      <w:r w:rsidRPr="00B00CF1">
        <w:rPr>
          <w:rFonts w:ascii="Calibri" w:hAnsi="Calibri"/>
          <w:b/>
          <w:color w:val="444444"/>
          <w:szCs w:val="15"/>
        </w:rPr>
        <w:t>16990-17000 Sunset Boulevard</w:t>
      </w:r>
      <w:r>
        <w:rPr>
          <w:rFonts w:ascii="Calibri" w:hAnsi="Calibri"/>
          <w:b/>
          <w:color w:val="444444"/>
          <w:szCs w:val="15"/>
        </w:rPr>
        <w:t>, Pacific Palisades</w:t>
      </w:r>
    </w:p>
    <w:p w:rsidR="00B00CF1" w:rsidRDefault="00B00CF1" w:rsidP="00B00CF1">
      <w:pPr>
        <w:jc w:val="center"/>
        <w:rPr>
          <w:rFonts w:ascii="Calibri" w:hAnsi="Calibri"/>
          <w:color w:val="444444"/>
          <w:szCs w:val="15"/>
        </w:rPr>
      </w:pPr>
      <w:r>
        <w:rPr>
          <w:rFonts w:ascii="Calibri" w:hAnsi="Calibri"/>
          <w:color w:val="444444"/>
          <w:szCs w:val="15"/>
        </w:rPr>
        <w:t>Hearing Date: Jan. 21, 2015</w:t>
      </w:r>
    </w:p>
    <w:p w:rsidR="00B00CF1" w:rsidRDefault="00B00CF1" w:rsidP="00B00CF1">
      <w:pPr>
        <w:jc w:val="center"/>
        <w:rPr>
          <w:rFonts w:ascii="Calibri" w:hAnsi="Calibri"/>
          <w:color w:val="444444"/>
          <w:szCs w:val="15"/>
        </w:rPr>
      </w:pPr>
      <w:r>
        <w:rPr>
          <w:rFonts w:ascii="Calibri" w:hAnsi="Calibri"/>
          <w:color w:val="444444"/>
          <w:szCs w:val="15"/>
        </w:rPr>
        <w:t>Case No. ZA-2012-130-CDP-MEL-1A</w:t>
      </w:r>
    </w:p>
    <w:p w:rsidR="00B00CF1" w:rsidRDefault="00B00CF1" w:rsidP="00B00CF1">
      <w:pPr>
        <w:rPr>
          <w:rFonts w:ascii="Calibri" w:hAnsi="Calibri"/>
          <w:color w:val="444444"/>
          <w:szCs w:val="15"/>
        </w:rPr>
      </w:pPr>
    </w:p>
    <w:p w:rsidR="00B00CF1" w:rsidRDefault="00B00CF1" w:rsidP="00B00CF1">
      <w:pPr>
        <w:rPr>
          <w:rFonts w:ascii="Calibri" w:hAnsi="Calibri"/>
          <w:color w:val="444444"/>
          <w:szCs w:val="15"/>
        </w:rPr>
      </w:pPr>
      <w:r>
        <w:rPr>
          <w:rFonts w:ascii="Calibri" w:hAnsi="Calibri"/>
          <w:color w:val="444444"/>
          <w:szCs w:val="15"/>
        </w:rPr>
        <w:t>Dear Commissioners:</w:t>
      </w:r>
    </w:p>
    <w:p w:rsidR="00B00CF1" w:rsidRDefault="00B00CF1" w:rsidP="00B00CF1">
      <w:pPr>
        <w:rPr>
          <w:rFonts w:ascii="Calibri" w:hAnsi="Calibri"/>
          <w:color w:val="444444"/>
          <w:szCs w:val="15"/>
        </w:rPr>
      </w:pPr>
    </w:p>
    <w:p w:rsidR="00D9727D" w:rsidRDefault="00CA0F15" w:rsidP="00B00CF1">
      <w:pPr>
        <w:rPr>
          <w:rFonts w:ascii="Calibri" w:hAnsi="Calibri"/>
          <w:color w:val="444444"/>
          <w:szCs w:val="15"/>
        </w:rPr>
      </w:pPr>
      <w:r>
        <w:rPr>
          <w:rFonts w:ascii="Calibri" w:hAnsi="Calibri"/>
          <w:color w:val="444444"/>
          <w:szCs w:val="15"/>
        </w:rPr>
        <w:t xml:space="preserve">       </w:t>
      </w:r>
      <w:r w:rsidR="00B00CF1">
        <w:rPr>
          <w:rFonts w:ascii="Calibri" w:hAnsi="Calibri"/>
          <w:color w:val="444444"/>
          <w:szCs w:val="15"/>
        </w:rPr>
        <w:t>This letter is presented on behalf of Appellants Larry Larson, General Partner, and Pacific Investment Co., owner of the 47-unit Pacific Gardens Apartments building which is immediately adjacent to the east of the subject property</w:t>
      </w:r>
      <w:r w:rsidR="008C29E6">
        <w:rPr>
          <w:rFonts w:ascii="Calibri" w:hAnsi="Calibri"/>
          <w:color w:val="444444"/>
          <w:szCs w:val="15"/>
        </w:rPr>
        <w:t>.</w:t>
      </w:r>
    </w:p>
    <w:p w:rsidR="008C29E6" w:rsidRDefault="008C29E6" w:rsidP="00B00CF1">
      <w:pPr>
        <w:rPr>
          <w:rFonts w:ascii="Calibri" w:hAnsi="Calibri"/>
          <w:color w:val="444444"/>
          <w:szCs w:val="15"/>
        </w:rPr>
      </w:pPr>
    </w:p>
    <w:p w:rsidR="007E75BB" w:rsidRDefault="008C29E6" w:rsidP="00B00CF1">
      <w:pPr>
        <w:rPr>
          <w:rFonts w:ascii="Calibri" w:hAnsi="Calibri"/>
          <w:color w:val="444444"/>
          <w:szCs w:val="15"/>
        </w:rPr>
      </w:pPr>
      <w:r>
        <w:rPr>
          <w:rFonts w:ascii="Calibri" w:hAnsi="Calibri"/>
          <w:color w:val="444444"/>
          <w:szCs w:val="15"/>
        </w:rPr>
        <w:t xml:space="preserve">     As stated in the Attachments to the t</w:t>
      </w:r>
      <w:r w:rsidR="00041366">
        <w:rPr>
          <w:rFonts w:ascii="Calibri" w:hAnsi="Calibri"/>
          <w:color w:val="444444"/>
          <w:szCs w:val="15"/>
        </w:rPr>
        <w:t>wo appeals by my clients (copy</w:t>
      </w:r>
      <w:r>
        <w:rPr>
          <w:rFonts w:ascii="Calibri" w:hAnsi="Calibri"/>
          <w:color w:val="444444"/>
          <w:szCs w:val="15"/>
        </w:rPr>
        <w:t xml:space="preserve"> attached hereto for convenience</w:t>
      </w:r>
      <w:r w:rsidR="00E20458">
        <w:rPr>
          <w:rFonts w:ascii="Calibri" w:hAnsi="Calibri"/>
          <w:color w:val="444444"/>
          <w:szCs w:val="15"/>
        </w:rPr>
        <w:t xml:space="preserve">, </w:t>
      </w:r>
      <w:r w:rsidR="00E20458" w:rsidRPr="00E20458">
        <w:rPr>
          <w:rFonts w:ascii="Calibri" w:hAnsi="Calibri"/>
          <w:b/>
          <w:color w:val="444444"/>
          <w:szCs w:val="15"/>
        </w:rPr>
        <w:t>Exhibit A</w:t>
      </w:r>
      <w:r>
        <w:rPr>
          <w:rFonts w:ascii="Calibri" w:hAnsi="Calibri"/>
          <w:color w:val="444444"/>
          <w:szCs w:val="15"/>
        </w:rPr>
        <w:t>), and to put it as simply as possible, this project c</w:t>
      </w:r>
      <w:r w:rsidR="00041366">
        <w:rPr>
          <w:rFonts w:ascii="Calibri" w:hAnsi="Calibri"/>
          <w:color w:val="444444"/>
          <w:szCs w:val="15"/>
        </w:rPr>
        <w:t>annot be approved without,</w:t>
      </w:r>
      <w:r>
        <w:rPr>
          <w:rFonts w:ascii="Calibri" w:hAnsi="Calibri"/>
          <w:color w:val="444444"/>
          <w:szCs w:val="15"/>
        </w:rPr>
        <w:t xml:space="preserve"> at the very least</w:t>
      </w:r>
      <w:r w:rsidR="00041366">
        <w:rPr>
          <w:rFonts w:ascii="Calibri" w:hAnsi="Calibri"/>
          <w:color w:val="444444"/>
          <w:szCs w:val="15"/>
        </w:rPr>
        <w:t>,</w:t>
      </w:r>
      <w:r w:rsidR="00D9727D">
        <w:rPr>
          <w:rFonts w:ascii="Calibri" w:hAnsi="Calibri"/>
          <w:color w:val="444444"/>
          <w:szCs w:val="15"/>
        </w:rPr>
        <w:t xml:space="preserve"> a F</w:t>
      </w:r>
      <w:r>
        <w:rPr>
          <w:rFonts w:ascii="Calibri" w:hAnsi="Calibri"/>
          <w:color w:val="444444"/>
          <w:szCs w:val="15"/>
        </w:rPr>
        <w:t xml:space="preserve">ocused EIR. This was the decision you reached in the nearby </w:t>
      </w:r>
      <w:r w:rsidRPr="00E20458">
        <w:rPr>
          <w:rFonts w:ascii="Calibri" w:hAnsi="Calibri"/>
          <w:b/>
          <w:color w:val="444444"/>
          <w:szCs w:val="15"/>
        </w:rPr>
        <w:t>Coaloa Property</w:t>
      </w:r>
      <w:r w:rsidR="007E75BB">
        <w:rPr>
          <w:rFonts w:ascii="Calibri" w:hAnsi="Calibri"/>
          <w:b/>
          <w:color w:val="444444"/>
          <w:szCs w:val="15"/>
        </w:rPr>
        <w:t xml:space="preserve"> </w:t>
      </w:r>
      <w:r w:rsidR="007E75BB" w:rsidRPr="007E75BB">
        <w:rPr>
          <w:rFonts w:ascii="Calibri" w:hAnsi="Calibri"/>
          <w:color w:val="444444"/>
          <w:szCs w:val="15"/>
        </w:rPr>
        <w:t>at 17030 Suns</w:t>
      </w:r>
      <w:r w:rsidR="007E75BB">
        <w:rPr>
          <w:rFonts w:ascii="Calibri" w:hAnsi="Calibri"/>
          <w:color w:val="444444"/>
          <w:szCs w:val="15"/>
        </w:rPr>
        <w:t>e</w:t>
      </w:r>
      <w:r w:rsidR="007E75BB" w:rsidRPr="007E75BB">
        <w:rPr>
          <w:rFonts w:ascii="Calibri" w:hAnsi="Calibri"/>
          <w:color w:val="444444"/>
          <w:szCs w:val="15"/>
        </w:rPr>
        <w:t>t Boulevard</w:t>
      </w:r>
      <w:r>
        <w:rPr>
          <w:rFonts w:ascii="Calibri" w:hAnsi="Calibri"/>
          <w:color w:val="444444"/>
          <w:szCs w:val="15"/>
        </w:rPr>
        <w:t>, a decision reviewed and upheld by the California Coastal Commission</w:t>
      </w:r>
      <w:r w:rsidR="00041366">
        <w:rPr>
          <w:rFonts w:ascii="Calibri" w:hAnsi="Calibri"/>
          <w:color w:val="444444"/>
          <w:szCs w:val="15"/>
        </w:rPr>
        <w:t xml:space="preserve"> after </w:t>
      </w:r>
      <w:r w:rsidR="007E75BB">
        <w:rPr>
          <w:rFonts w:ascii="Calibri" w:hAnsi="Calibri"/>
          <w:color w:val="444444"/>
          <w:szCs w:val="15"/>
        </w:rPr>
        <w:t xml:space="preserve">the </w:t>
      </w:r>
      <w:r w:rsidR="00041366">
        <w:rPr>
          <w:rFonts w:ascii="Calibri" w:hAnsi="Calibri"/>
          <w:color w:val="444444"/>
          <w:szCs w:val="15"/>
        </w:rPr>
        <w:t>developer appealed it,</w:t>
      </w:r>
      <w:r>
        <w:rPr>
          <w:rFonts w:ascii="Calibri" w:hAnsi="Calibri"/>
          <w:color w:val="444444"/>
          <w:szCs w:val="15"/>
        </w:rPr>
        <w:t xml:space="preserve"> which is </w:t>
      </w:r>
      <w:r w:rsidR="00041366">
        <w:rPr>
          <w:rFonts w:ascii="Calibri" w:hAnsi="Calibri"/>
          <w:color w:val="444444"/>
          <w:szCs w:val="15"/>
        </w:rPr>
        <w:t xml:space="preserve">now </w:t>
      </w:r>
      <w:r>
        <w:rPr>
          <w:rFonts w:ascii="Calibri" w:hAnsi="Calibri"/>
          <w:color w:val="444444"/>
          <w:szCs w:val="15"/>
        </w:rPr>
        <w:t>final</w:t>
      </w:r>
      <w:r w:rsidR="00041366">
        <w:rPr>
          <w:rFonts w:ascii="Calibri" w:hAnsi="Calibri"/>
          <w:color w:val="444444"/>
          <w:szCs w:val="15"/>
        </w:rPr>
        <w:t xml:space="preserve"> and awaiting a proper CEQA re-submittal in compliance with your ruling</w:t>
      </w:r>
      <w:r>
        <w:rPr>
          <w:rFonts w:ascii="Calibri" w:hAnsi="Calibri"/>
          <w:color w:val="444444"/>
          <w:szCs w:val="15"/>
        </w:rPr>
        <w:t>.</w:t>
      </w:r>
      <w:r w:rsidR="007E75BB">
        <w:rPr>
          <w:rFonts w:ascii="Calibri" w:hAnsi="Calibri"/>
          <w:color w:val="444444"/>
          <w:szCs w:val="15"/>
        </w:rPr>
        <w:t xml:space="preserve"> One has to ask, why did</w:t>
      </w:r>
      <w:r w:rsidR="00B150A7">
        <w:rPr>
          <w:rFonts w:ascii="Calibri" w:hAnsi="Calibri"/>
          <w:color w:val="444444"/>
          <w:szCs w:val="15"/>
        </w:rPr>
        <w:t xml:space="preserve"> the office </w:t>
      </w:r>
      <w:r w:rsidR="007E75BB">
        <w:rPr>
          <w:rFonts w:ascii="Calibri" w:hAnsi="Calibri"/>
          <w:color w:val="444444"/>
          <w:szCs w:val="15"/>
        </w:rPr>
        <w:t>o</w:t>
      </w:r>
      <w:r w:rsidR="00B150A7">
        <w:rPr>
          <w:rFonts w:ascii="Calibri" w:hAnsi="Calibri"/>
          <w:color w:val="444444"/>
          <w:szCs w:val="15"/>
        </w:rPr>
        <w:t xml:space="preserve">f the Zoning Administrator learn nothing from </w:t>
      </w:r>
      <w:r w:rsidR="007E75BB">
        <w:rPr>
          <w:rFonts w:ascii="Calibri" w:hAnsi="Calibri"/>
          <w:color w:val="444444"/>
          <w:szCs w:val="15"/>
        </w:rPr>
        <w:t xml:space="preserve">this </w:t>
      </w:r>
      <w:r w:rsidR="00B150A7">
        <w:rPr>
          <w:rFonts w:ascii="Calibri" w:hAnsi="Calibri"/>
          <w:color w:val="444444"/>
          <w:szCs w:val="15"/>
        </w:rPr>
        <w:t>recent precedent</w:t>
      </w:r>
      <w:r w:rsidR="007E75BB">
        <w:rPr>
          <w:rFonts w:ascii="Calibri" w:hAnsi="Calibri"/>
          <w:color w:val="444444"/>
          <w:szCs w:val="15"/>
        </w:rPr>
        <w:t>,</w:t>
      </w:r>
      <w:r w:rsidR="00B150A7">
        <w:rPr>
          <w:rFonts w:ascii="Calibri" w:hAnsi="Calibri"/>
          <w:color w:val="444444"/>
          <w:szCs w:val="15"/>
        </w:rPr>
        <w:t xml:space="preserve"> on the project which is virtually identical to this one with the exception that this land is even more unstable, consisting of </w:t>
      </w:r>
      <w:r w:rsidR="006B152B">
        <w:rPr>
          <w:rFonts w:ascii="Calibri" w:hAnsi="Calibri"/>
          <w:color w:val="444444"/>
          <w:szCs w:val="15"/>
        </w:rPr>
        <w:t xml:space="preserve">what is essentially garbage fill over a former canyon. </w:t>
      </w:r>
    </w:p>
    <w:p w:rsidR="007E75BB" w:rsidRDefault="007E75BB" w:rsidP="00B00CF1">
      <w:pPr>
        <w:rPr>
          <w:rFonts w:ascii="Calibri" w:hAnsi="Calibri"/>
          <w:color w:val="444444"/>
          <w:szCs w:val="15"/>
        </w:rPr>
      </w:pPr>
    </w:p>
    <w:p w:rsidR="00D9727D" w:rsidRDefault="00CA0F15" w:rsidP="00B00CF1">
      <w:pPr>
        <w:rPr>
          <w:rFonts w:ascii="Calibri" w:hAnsi="Calibri"/>
          <w:color w:val="444444"/>
          <w:szCs w:val="15"/>
        </w:rPr>
      </w:pPr>
      <w:r>
        <w:rPr>
          <w:rFonts w:ascii="Calibri" w:hAnsi="Calibri"/>
          <w:color w:val="444444"/>
          <w:szCs w:val="15"/>
        </w:rPr>
        <w:t xml:space="preserve">    </w:t>
      </w:r>
      <w:r w:rsidR="006B152B">
        <w:rPr>
          <w:rFonts w:ascii="Calibri" w:hAnsi="Calibri"/>
          <w:color w:val="444444"/>
          <w:szCs w:val="15"/>
        </w:rPr>
        <w:t>The decision this Commission made in the Coaloa proje</w:t>
      </w:r>
      <w:r w:rsidR="00E20458">
        <w:rPr>
          <w:rFonts w:ascii="Calibri" w:hAnsi="Calibri"/>
          <w:color w:val="444444"/>
          <w:szCs w:val="15"/>
        </w:rPr>
        <w:t>c</w:t>
      </w:r>
      <w:r w:rsidR="006B152B">
        <w:rPr>
          <w:rFonts w:ascii="Calibri" w:hAnsi="Calibri"/>
          <w:color w:val="444444"/>
          <w:szCs w:val="15"/>
        </w:rPr>
        <w:t>t is attached hereto for your convenience</w:t>
      </w:r>
      <w:r w:rsidR="007E75BB">
        <w:rPr>
          <w:rFonts w:ascii="Calibri" w:hAnsi="Calibri"/>
          <w:color w:val="444444"/>
          <w:szCs w:val="15"/>
        </w:rPr>
        <w:t>,</w:t>
      </w:r>
      <w:r w:rsidR="00E20458">
        <w:rPr>
          <w:rFonts w:ascii="Calibri" w:hAnsi="Calibri"/>
          <w:color w:val="444444"/>
          <w:szCs w:val="15"/>
        </w:rPr>
        <w:t xml:space="preserve"> and for the record</w:t>
      </w:r>
      <w:r w:rsidR="007E75BB">
        <w:rPr>
          <w:rFonts w:ascii="Calibri" w:hAnsi="Calibri"/>
          <w:color w:val="444444"/>
          <w:szCs w:val="15"/>
        </w:rPr>
        <w:t>,</w:t>
      </w:r>
      <w:r w:rsidR="00E20458">
        <w:rPr>
          <w:rFonts w:ascii="Calibri" w:hAnsi="Calibri"/>
          <w:color w:val="444444"/>
          <w:szCs w:val="15"/>
        </w:rPr>
        <w:t xml:space="preserve"> as </w:t>
      </w:r>
      <w:r w:rsidR="00E20458" w:rsidRPr="00E20458">
        <w:rPr>
          <w:rFonts w:ascii="Calibri" w:hAnsi="Calibri"/>
          <w:b/>
          <w:color w:val="444444"/>
          <w:szCs w:val="15"/>
        </w:rPr>
        <w:t>Exhibit B</w:t>
      </w:r>
      <w:r w:rsidR="007E75BB">
        <w:rPr>
          <w:rFonts w:ascii="Calibri" w:hAnsi="Calibri"/>
          <w:color w:val="444444"/>
          <w:szCs w:val="15"/>
        </w:rPr>
        <w:t>. The decision requires</w:t>
      </w:r>
      <w:r w:rsidR="006B152B">
        <w:rPr>
          <w:rFonts w:ascii="Calibri" w:hAnsi="Calibri"/>
          <w:color w:val="444444"/>
          <w:szCs w:val="15"/>
        </w:rPr>
        <w:t xml:space="preserve"> the applicant to do a proper environmental review to answer the questions raised by opponents and by the Commissioners trying to make sense out of the haphazardly presented information. The prope</w:t>
      </w:r>
      <w:r w:rsidR="007E75BB">
        <w:rPr>
          <w:rFonts w:ascii="Calibri" w:hAnsi="Calibri"/>
          <w:color w:val="444444"/>
          <w:szCs w:val="15"/>
        </w:rPr>
        <w:t>rty owner, Coaloa, appealed this</w:t>
      </w:r>
      <w:r w:rsidR="006B152B">
        <w:rPr>
          <w:rFonts w:ascii="Calibri" w:hAnsi="Calibri"/>
          <w:color w:val="444444"/>
          <w:szCs w:val="15"/>
        </w:rPr>
        <w:t xml:space="preserve"> decision to the State Coastal Commi</w:t>
      </w:r>
      <w:r w:rsidR="007E75BB">
        <w:rPr>
          <w:rFonts w:ascii="Calibri" w:hAnsi="Calibri"/>
          <w:color w:val="444444"/>
          <w:szCs w:val="15"/>
        </w:rPr>
        <w:t>ssion, which ruled that the decision was entirely</w:t>
      </w:r>
      <w:r w:rsidR="006B152B">
        <w:rPr>
          <w:rFonts w:ascii="Calibri" w:hAnsi="Calibri"/>
          <w:color w:val="444444"/>
          <w:szCs w:val="15"/>
        </w:rPr>
        <w:t xml:space="preserve"> correct and that </w:t>
      </w:r>
      <w:r w:rsidR="00D9727D">
        <w:rPr>
          <w:rFonts w:ascii="Calibri" w:hAnsi="Calibri"/>
          <w:color w:val="444444"/>
          <w:szCs w:val="15"/>
        </w:rPr>
        <w:t>neither the appeal nor the project could</w:t>
      </w:r>
      <w:r w:rsidR="006B152B">
        <w:rPr>
          <w:rFonts w:ascii="Calibri" w:hAnsi="Calibri"/>
          <w:color w:val="444444"/>
          <w:szCs w:val="15"/>
        </w:rPr>
        <w:t xml:space="preserve"> go forward in the absence of the e</w:t>
      </w:r>
      <w:r w:rsidR="00D9727D">
        <w:rPr>
          <w:rFonts w:ascii="Calibri" w:hAnsi="Calibri"/>
          <w:color w:val="444444"/>
          <w:szCs w:val="15"/>
        </w:rPr>
        <w:t>nvironmental review you ordered</w:t>
      </w:r>
      <w:r w:rsidR="006B152B">
        <w:rPr>
          <w:rFonts w:ascii="Calibri" w:hAnsi="Calibri"/>
          <w:color w:val="444444"/>
          <w:szCs w:val="15"/>
        </w:rPr>
        <w:t xml:space="preserve">. A full copy of the </w:t>
      </w:r>
      <w:r w:rsidR="007E75BB">
        <w:rPr>
          <w:rFonts w:ascii="Calibri" w:hAnsi="Calibri"/>
          <w:color w:val="444444"/>
          <w:szCs w:val="15"/>
        </w:rPr>
        <w:t xml:space="preserve">State Commission’s </w:t>
      </w:r>
      <w:r w:rsidR="006B152B">
        <w:rPr>
          <w:rFonts w:ascii="Calibri" w:hAnsi="Calibri"/>
          <w:color w:val="444444"/>
          <w:szCs w:val="15"/>
        </w:rPr>
        <w:t>staff report giving the specific reasons for the decision is attached for your review</w:t>
      </w:r>
      <w:r w:rsidR="00D9727D">
        <w:rPr>
          <w:rFonts w:ascii="Calibri" w:hAnsi="Calibri"/>
          <w:color w:val="444444"/>
          <w:szCs w:val="15"/>
        </w:rPr>
        <w:t>,</w:t>
      </w:r>
      <w:r w:rsidR="006B152B">
        <w:rPr>
          <w:rFonts w:ascii="Calibri" w:hAnsi="Calibri"/>
          <w:color w:val="444444"/>
          <w:szCs w:val="15"/>
        </w:rPr>
        <w:t xml:space="preserve"> and for the record</w:t>
      </w:r>
      <w:r w:rsidR="00D9727D">
        <w:rPr>
          <w:rFonts w:ascii="Calibri" w:hAnsi="Calibri"/>
          <w:color w:val="444444"/>
          <w:szCs w:val="15"/>
        </w:rPr>
        <w:t>,</w:t>
      </w:r>
      <w:r w:rsidR="006B152B">
        <w:rPr>
          <w:rFonts w:ascii="Calibri" w:hAnsi="Calibri"/>
          <w:color w:val="444444"/>
          <w:szCs w:val="15"/>
        </w:rPr>
        <w:t xml:space="preserve"> as </w:t>
      </w:r>
      <w:r w:rsidR="006B152B" w:rsidRPr="00E20458">
        <w:rPr>
          <w:rFonts w:ascii="Calibri" w:hAnsi="Calibri"/>
          <w:b/>
          <w:color w:val="444444"/>
          <w:szCs w:val="15"/>
        </w:rPr>
        <w:t xml:space="preserve">Exhibit </w:t>
      </w:r>
      <w:r w:rsidR="00E20458">
        <w:rPr>
          <w:rFonts w:ascii="Calibri" w:hAnsi="Calibri"/>
          <w:b/>
          <w:color w:val="444444"/>
          <w:szCs w:val="15"/>
        </w:rPr>
        <w:t>C</w:t>
      </w:r>
      <w:r w:rsidR="00D9727D">
        <w:rPr>
          <w:rFonts w:ascii="Calibri" w:hAnsi="Calibri"/>
          <w:b/>
          <w:color w:val="444444"/>
          <w:szCs w:val="15"/>
        </w:rPr>
        <w:t>, which constitutes a precedent for the current case</w:t>
      </w:r>
      <w:r w:rsidR="006B152B">
        <w:rPr>
          <w:rFonts w:ascii="Calibri" w:hAnsi="Calibri"/>
          <w:color w:val="444444"/>
          <w:szCs w:val="15"/>
        </w:rPr>
        <w:t>.</w:t>
      </w:r>
    </w:p>
    <w:p w:rsidR="00D9727D" w:rsidRDefault="006B152B" w:rsidP="00B00CF1">
      <w:pPr>
        <w:rPr>
          <w:rFonts w:ascii="Calibri" w:hAnsi="Calibri"/>
          <w:color w:val="444444"/>
          <w:szCs w:val="15"/>
        </w:rPr>
      </w:pPr>
      <w:r>
        <w:rPr>
          <w:rFonts w:ascii="Calibri" w:hAnsi="Calibri"/>
          <w:color w:val="444444"/>
          <w:szCs w:val="15"/>
        </w:rPr>
        <w:t xml:space="preserve"> The only question presented today, is why are we here with yet another MND instead of a proper EIR or at least Focused EIR?</w:t>
      </w:r>
    </w:p>
    <w:p w:rsidR="008C29E6" w:rsidRDefault="008C29E6" w:rsidP="00B00CF1">
      <w:pPr>
        <w:rPr>
          <w:rFonts w:ascii="Calibri" w:hAnsi="Calibri"/>
          <w:color w:val="444444"/>
          <w:szCs w:val="15"/>
        </w:rPr>
      </w:pPr>
    </w:p>
    <w:p w:rsidR="00E20458" w:rsidRDefault="006B152B">
      <w:pPr>
        <w:rPr>
          <w:rFonts w:ascii="Calibri" w:hAnsi="Calibri"/>
          <w:color w:val="444444"/>
          <w:szCs w:val="15"/>
        </w:rPr>
      </w:pPr>
      <w:r>
        <w:rPr>
          <w:rFonts w:ascii="Calibri" w:hAnsi="Calibri"/>
          <w:color w:val="444444"/>
          <w:szCs w:val="15"/>
        </w:rPr>
        <w:t xml:space="preserve">    The undersigned was retained to review this matter after the ZA had held the hearing and issued the </w:t>
      </w:r>
      <w:r w:rsidR="00D9727D">
        <w:rPr>
          <w:rFonts w:ascii="Calibri" w:hAnsi="Calibri"/>
          <w:color w:val="444444"/>
          <w:szCs w:val="15"/>
        </w:rPr>
        <w:t xml:space="preserve">Letter of </w:t>
      </w:r>
      <w:r>
        <w:rPr>
          <w:rFonts w:ascii="Calibri" w:hAnsi="Calibri"/>
          <w:color w:val="444444"/>
          <w:szCs w:val="15"/>
        </w:rPr>
        <w:t xml:space="preserve">Determination </w:t>
      </w:r>
      <w:r w:rsidR="00D9727D">
        <w:rPr>
          <w:rFonts w:ascii="Calibri" w:hAnsi="Calibri"/>
          <w:color w:val="444444"/>
          <w:szCs w:val="15"/>
        </w:rPr>
        <w:t xml:space="preserve">(“LOD”) </w:t>
      </w:r>
      <w:r w:rsidR="00E20458">
        <w:rPr>
          <w:rFonts w:ascii="Calibri" w:hAnsi="Calibri"/>
          <w:color w:val="444444"/>
          <w:szCs w:val="15"/>
        </w:rPr>
        <w:t>dated October</w:t>
      </w:r>
      <w:r>
        <w:rPr>
          <w:rFonts w:ascii="Calibri" w:hAnsi="Calibri"/>
          <w:color w:val="444444"/>
          <w:szCs w:val="15"/>
        </w:rPr>
        <w:t xml:space="preserve"> 2, 2014, so I found myself in a position similar to what you may now be experiencing, i.e., trying to </w:t>
      </w:r>
      <w:r w:rsidR="00D9727D">
        <w:rPr>
          <w:rFonts w:ascii="Calibri" w:hAnsi="Calibri"/>
          <w:color w:val="444444"/>
          <w:szCs w:val="15"/>
        </w:rPr>
        <w:t>review t</w:t>
      </w:r>
      <w:r>
        <w:rPr>
          <w:rFonts w:ascii="Calibri" w:hAnsi="Calibri"/>
          <w:color w:val="444444"/>
          <w:szCs w:val="15"/>
        </w:rPr>
        <w:t>he record</w:t>
      </w:r>
      <w:r w:rsidR="00D9727D">
        <w:rPr>
          <w:rFonts w:ascii="Calibri" w:hAnsi="Calibri"/>
          <w:color w:val="444444"/>
          <w:szCs w:val="15"/>
        </w:rPr>
        <w:t xml:space="preserve"> </w:t>
      </w:r>
      <w:proofErr w:type="gramStart"/>
      <w:r w:rsidR="00D9727D">
        <w:rPr>
          <w:rFonts w:ascii="Calibri" w:hAnsi="Calibri"/>
          <w:color w:val="444444"/>
          <w:szCs w:val="15"/>
        </w:rPr>
        <w:t xml:space="preserve">which </w:t>
      </w:r>
      <w:r>
        <w:rPr>
          <w:rFonts w:ascii="Calibri" w:hAnsi="Calibri"/>
          <w:color w:val="444444"/>
          <w:szCs w:val="15"/>
        </w:rPr>
        <w:t xml:space="preserve"> is</w:t>
      </w:r>
      <w:proofErr w:type="gramEnd"/>
      <w:r>
        <w:rPr>
          <w:rFonts w:ascii="Calibri" w:hAnsi="Calibri"/>
          <w:color w:val="444444"/>
          <w:szCs w:val="15"/>
        </w:rPr>
        <w:t xml:space="preserve"> voluminous, full of conflicting (and changing) information, and difficult to comprehend. This state of affairs</w:t>
      </w:r>
      <w:r w:rsidR="00E20458">
        <w:rPr>
          <w:rFonts w:ascii="Calibri" w:hAnsi="Calibri"/>
          <w:color w:val="444444"/>
          <w:szCs w:val="15"/>
        </w:rPr>
        <w:t xml:space="preserve"> is what CEQA w</w:t>
      </w:r>
      <w:r w:rsidR="00D9727D">
        <w:rPr>
          <w:rFonts w:ascii="Calibri" w:hAnsi="Calibri"/>
          <w:color w:val="444444"/>
          <w:szCs w:val="15"/>
        </w:rPr>
        <w:t>as designed to avoid</w:t>
      </w:r>
      <w:r>
        <w:rPr>
          <w:rFonts w:ascii="Calibri" w:hAnsi="Calibri"/>
          <w:color w:val="444444"/>
          <w:szCs w:val="15"/>
        </w:rPr>
        <w:t xml:space="preserve">, by putting all of the information into one, organized, readable document. Despite the clear precedent set by </w:t>
      </w:r>
      <w:r w:rsidR="00E20458">
        <w:rPr>
          <w:rFonts w:ascii="Calibri" w:hAnsi="Calibri"/>
          <w:color w:val="444444"/>
          <w:szCs w:val="15"/>
        </w:rPr>
        <w:t xml:space="preserve">your decision in the </w:t>
      </w:r>
      <w:r>
        <w:rPr>
          <w:rFonts w:ascii="Calibri" w:hAnsi="Calibri"/>
          <w:color w:val="444444"/>
          <w:szCs w:val="15"/>
        </w:rPr>
        <w:t>Coaloa</w:t>
      </w:r>
      <w:r w:rsidR="00E20458">
        <w:rPr>
          <w:rFonts w:ascii="Calibri" w:hAnsi="Calibri"/>
          <w:color w:val="444444"/>
          <w:szCs w:val="15"/>
        </w:rPr>
        <w:t xml:space="preserve"> project</w:t>
      </w:r>
      <w:r w:rsidR="00D9727D">
        <w:rPr>
          <w:rFonts w:ascii="Calibri" w:hAnsi="Calibri"/>
          <w:color w:val="444444"/>
          <w:szCs w:val="15"/>
        </w:rPr>
        <w:t>, the planning department</w:t>
      </w:r>
      <w:r>
        <w:rPr>
          <w:rFonts w:ascii="Calibri" w:hAnsi="Calibri"/>
          <w:color w:val="444444"/>
          <w:szCs w:val="15"/>
        </w:rPr>
        <w:t xml:space="preserve"> still allows the app</w:t>
      </w:r>
      <w:r w:rsidR="00E20458">
        <w:rPr>
          <w:rFonts w:ascii="Calibri" w:hAnsi="Calibri"/>
          <w:color w:val="444444"/>
          <w:szCs w:val="15"/>
        </w:rPr>
        <w:t>l</w:t>
      </w:r>
      <w:r>
        <w:rPr>
          <w:rFonts w:ascii="Calibri" w:hAnsi="Calibri"/>
          <w:color w:val="444444"/>
          <w:szCs w:val="15"/>
        </w:rPr>
        <w:t>i</w:t>
      </w:r>
      <w:r w:rsidR="00D9727D">
        <w:rPr>
          <w:rFonts w:ascii="Calibri" w:hAnsi="Calibri"/>
          <w:color w:val="444444"/>
          <w:szCs w:val="15"/>
        </w:rPr>
        <w:t>cant to dictate that an MND should</w:t>
      </w:r>
      <w:r>
        <w:rPr>
          <w:rFonts w:ascii="Calibri" w:hAnsi="Calibri"/>
          <w:color w:val="444444"/>
          <w:szCs w:val="15"/>
        </w:rPr>
        <w:t xml:space="preserve"> be the</w:t>
      </w:r>
      <w:r w:rsidR="00606A32">
        <w:rPr>
          <w:rFonts w:ascii="Calibri" w:hAnsi="Calibri"/>
          <w:color w:val="444444"/>
          <w:szCs w:val="15"/>
        </w:rPr>
        <w:t xml:space="preserve"> only CEQA review. </w:t>
      </w:r>
    </w:p>
    <w:p w:rsidR="00606A32" w:rsidRDefault="00606A32">
      <w:pPr>
        <w:rPr>
          <w:rFonts w:ascii="Calibri" w:hAnsi="Calibri"/>
          <w:color w:val="444444"/>
          <w:szCs w:val="15"/>
        </w:rPr>
      </w:pPr>
    </w:p>
    <w:p w:rsidR="00CA0F15" w:rsidRDefault="00D9727D">
      <w:pPr>
        <w:rPr>
          <w:rFonts w:ascii="Calibri" w:hAnsi="Calibri"/>
          <w:color w:val="444444"/>
          <w:szCs w:val="15"/>
        </w:rPr>
      </w:pPr>
      <w:r>
        <w:rPr>
          <w:rFonts w:ascii="Calibri" w:hAnsi="Calibri"/>
          <w:color w:val="444444"/>
          <w:szCs w:val="15"/>
        </w:rPr>
        <w:t xml:space="preserve">  Why do we say the planning </w:t>
      </w:r>
      <w:proofErr w:type="gramStart"/>
      <w:r>
        <w:rPr>
          <w:rFonts w:ascii="Calibri" w:hAnsi="Calibri"/>
          <w:color w:val="444444"/>
          <w:szCs w:val="15"/>
        </w:rPr>
        <w:t xml:space="preserve">department </w:t>
      </w:r>
      <w:r w:rsidR="00606A32">
        <w:rPr>
          <w:rFonts w:ascii="Calibri" w:hAnsi="Calibri"/>
          <w:color w:val="444444"/>
          <w:szCs w:val="15"/>
        </w:rPr>
        <w:t xml:space="preserve"> allows</w:t>
      </w:r>
      <w:proofErr w:type="gramEnd"/>
      <w:r w:rsidR="00606A32">
        <w:rPr>
          <w:rFonts w:ascii="Calibri" w:hAnsi="Calibri"/>
          <w:color w:val="444444"/>
          <w:szCs w:val="15"/>
        </w:rPr>
        <w:t xml:space="preserve"> the applicant to do this?  Because there is corres</w:t>
      </w:r>
      <w:r>
        <w:rPr>
          <w:rFonts w:ascii="Calibri" w:hAnsi="Calibri"/>
          <w:color w:val="444444"/>
          <w:szCs w:val="15"/>
        </w:rPr>
        <w:t>pondence in the file from the Office of Zoning Administration</w:t>
      </w:r>
      <w:r w:rsidR="00606A32">
        <w:rPr>
          <w:rFonts w:ascii="Calibri" w:hAnsi="Calibri"/>
          <w:color w:val="444444"/>
          <w:szCs w:val="15"/>
        </w:rPr>
        <w:t xml:space="preserve"> to the applicant telling him to respond to the public’s comments, instead of telling him to prepare an EIR. </w:t>
      </w:r>
      <w:r>
        <w:rPr>
          <w:rFonts w:ascii="Calibri" w:hAnsi="Calibri"/>
          <w:color w:val="444444"/>
          <w:szCs w:val="15"/>
        </w:rPr>
        <w:t xml:space="preserve">The planning department claims it has insufficient resources to do this, so it delegates the responsibility to the applicant to hire a “consultant’ to respond to the public’s comments.  </w:t>
      </w:r>
      <w:r w:rsidR="00606A32">
        <w:rPr>
          <w:rFonts w:ascii="Calibri" w:hAnsi="Calibri"/>
          <w:color w:val="444444"/>
          <w:szCs w:val="15"/>
        </w:rPr>
        <w:t xml:space="preserve">See </w:t>
      </w:r>
      <w:r w:rsidR="00606A32" w:rsidRPr="00E20458">
        <w:rPr>
          <w:rFonts w:ascii="Calibri" w:hAnsi="Calibri"/>
          <w:b/>
          <w:color w:val="444444"/>
          <w:szCs w:val="15"/>
        </w:rPr>
        <w:t xml:space="preserve">Exhibit </w:t>
      </w:r>
      <w:r w:rsidR="00E20458">
        <w:rPr>
          <w:rFonts w:ascii="Calibri" w:hAnsi="Calibri"/>
          <w:b/>
          <w:color w:val="444444"/>
          <w:szCs w:val="15"/>
        </w:rPr>
        <w:t>D</w:t>
      </w:r>
      <w:r>
        <w:rPr>
          <w:rFonts w:ascii="Calibri" w:hAnsi="Calibri"/>
          <w:color w:val="444444"/>
          <w:szCs w:val="15"/>
        </w:rPr>
        <w:t>. Thus, the applicant hired a consultant under its control to fill</w:t>
      </w:r>
      <w:r w:rsidR="00606A32">
        <w:rPr>
          <w:rFonts w:ascii="Calibri" w:hAnsi="Calibri"/>
          <w:color w:val="444444"/>
          <w:szCs w:val="15"/>
        </w:rPr>
        <w:t xml:space="preserve"> the record with “responses” that do not resolve the issues. This evidence demonstrates that the city staff is overworked, understaffed, or both, because it is delegating matters to the applicant, allowing h</w:t>
      </w:r>
      <w:r w:rsidR="00E20458">
        <w:rPr>
          <w:rFonts w:ascii="Calibri" w:hAnsi="Calibri"/>
          <w:color w:val="444444"/>
          <w:szCs w:val="15"/>
        </w:rPr>
        <w:t>i</w:t>
      </w:r>
      <w:r w:rsidR="00606A32">
        <w:rPr>
          <w:rFonts w:ascii="Calibri" w:hAnsi="Calibri"/>
          <w:color w:val="444444"/>
          <w:szCs w:val="15"/>
        </w:rPr>
        <w:t xml:space="preserve">m to control the flow of information, on issues that should be analyzed and answered independently by the city. </w:t>
      </w:r>
    </w:p>
    <w:p w:rsidR="00606A32" w:rsidRDefault="00606A32">
      <w:pPr>
        <w:rPr>
          <w:rFonts w:ascii="Calibri" w:hAnsi="Calibri"/>
          <w:color w:val="444444"/>
          <w:szCs w:val="15"/>
        </w:rPr>
      </w:pPr>
    </w:p>
    <w:p w:rsidR="005D7960" w:rsidRDefault="00606A32">
      <w:pPr>
        <w:rPr>
          <w:rFonts w:ascii="Calibri" w:hAnsi="Calibri"/>
          <w:color w:val="444444"/>
          <w:szCs w:val="15"/>
        </w:rPr>
      </w:pPr>
      <w:r>
        <w:rPr>
          <w:rFonts w:ascii="Calibri" w:hAnsi="Calibri"/>
          <w:color w:val="444444"/>
          <w:szCs w:val="15"/>
        </w:rPr>
        <w:t xml:space="preserve">      </w:t>
      </w:r>
      <w:r w:rsidR="00041366">
        <w:rPr>
          <w:rFonts w:ascii="Calibri" w:hAnsi="Calibri"/>
          <w:color w:val="444444"/>
          <w:szCs w:val="15"/>
        </w:rPr>
        <w:t>Pe</w:t>
      </w:r>
      <w:r>
        <w:rPr>
          <w:rFonts w:ascii="Calibri" w:hAnsi="Calibri"/>
          <w:color w:val="444444"/>
          <w:szCs w:val="15"/>
        </w:rPr>
        <w:t>rhaps the most compelling evidence of this abnegation of responsibility</w:t>
      </w:r>
      <w:r w:rsidR="0010676B">
        <w:rPr>
          <w:rFonts w:ascii="Calibri" w:hAnsi="Calibri"/>
          <w:color w:val="444444"/>
          <w:szCs w:val="15"/>
        </w:rPr>
        <w:t>, from</w:t>
      </w:r>
      <w:r w:rsidR="00041366">
        <w:rPr>
          <w:rFonts w:ascii="Calibri" w:hAnsi="Calibri"/>
          <w:color w:val="444444"/>
          <w:szCs w:val="15"/>
        </w:rPr>
        <w:t xml:space="preserve"> a legal point of view, is that on page 32 (Mandatory Findings no. 9), the ZA makes a clearly incorrect statement, </w:t>
      </w:r>
      <w:r>
        <w:rPr>
          <w:rFonts w:ascii="Calibri" w:hAnsi="Calibri"/>
          <w:color w:val="444444"/>
          <w:szCs w:val="15"/>
        </w:rPr>
        <w:t xml:space="preserve">which is easily </w:t>
      </w:r>
      <w:r w:rsidR="00041366">
        <w:rPr>
          <w:rFonts w:ascii="Calibri" w:hAnsi="Calibri"/>
          <w:color w:val="444444"/>
          <w:szCs w:val="15"/>
        </w:rPr>
        <w:t xml:space="preserve">disproved by the documents in the record, that </w:t>
      </w:r>
      <w:r w:rsidR="00D9727D">
        <w:rPr>
          <w:rFonts w:ascii="Calibri" w:hAnsi="Calibri"/>
          <w:color w:val="444444"/>
          <w:szCs w:val="15"/>
        </w:rPr>
        <w:t xml:space="preserve">the “subsequent” MND was published but that it “Was not formally responded to as the public hearing for the case and the environmental clearance occurred on July 18, 2013”, therefore the MND is approved and “reflects the lead agency’s independent </w:t>
      </w:r>
      <w:r w:rsidR="003B6B73">
        <w:rPr>
          <w:rFonts w:ascii="Calibri" w:hAnsi="Calibri"/>
          <w:color w:val="444444"/>
          <w:szCs w:val="15"/>
        </w:rPr>
        <w:t>judgment</w:t>
      </w:r>
      <w:r w:rsidR="00D9727D">
        <w:rPr>
          <w:rFonts w:ascii="Calibri" w:hAnsi="Calibri"/>
          <w:color w:val="444444"/>
          <w:szCs w:val="15"/>
        </w:rPr>
        <w:t xml:space="preserve"> and analysis”. </w:t>
      </w:r>
      <w:proofErr w:type="gramStart"/>
      <w:r w:rsidR="00D9727D">
        <w:rPr>
          <w:rFonts w:ascii="Calibri" w:hAnsi="Calibri"/>
          <w:color w:val="444444"/>
          <w:szCs w:val="15"/>
        </w:rPr>
        <w:t>(LOD, pp 32-33).</w:t>
      </w:r>
      <w:proofErr w:type="gramEnd"/>
      <w:r w:rsidR="00D9727D">
        <w:rPr>
          <w:rFonts w:ascii="Calibri" w:hAnsi="Calibri"/>
          <w:color w:val="444444"/>
          <w:szCs w:val="15"/>
        </w:rPr>
        <w:t xml:space="preserve"> Thus, the purported “independent analysis” of the ZA as lead agency is based on that fact that no formal responses were made to the subsequent MND prior to July 18, 2013? </w:t>
      </w:r>
      <w:r w:rsidR="00D9727D" w:rsidRPr="00D9727D">
        <w:rPr>
          <w:rFonts w:ascii="Calibri" w:hAnsi="Calibri"/>
          <w:b/>
          <w:color w:val="444444"/>
          <w:szCs w:val="15"/>
        </w:rPr>
        <w:t>This is preposterous</w:t>
      </w:r>
      <w:proofErr w:type="gramStart"/>
      <w:r w:rsidR="007534D5">
        <w:rPr>
          <w:rFonts w:ascii="Calibri" w:hAnsi="Calibri"/>
          <w:color w:val="444444"/>
          <w:szCs w:val="15"/>
        </w:rPr>
        <w:t>;</w:t>
      </w:r>
      <w:r w:rsidR="00041366">
        <w:rPr>
          <w:rFonts w:ascii="Calibri" w:hAnsi="Calibri"/>
          <w:color w:val="444444"/>
          <w:szCs w:val="15"/>
        </w:rPr>
        <w:t xml:space="preserve">  </w:t>
      </w:r>
      <w:r w:rsidR="007534D5">
        <w:rPr>
          <w:rFonts w:ascii="Calibri" w:hAnsi="Calibri"/>
          <w:color w:val="444444"/>
          <w:szCs w:val="15"/>
        </w:rPr>
        <w:t>it</w:t>
      </w:r>
      <w:proofErr w:type="gramEnd"/>
      <w:r>
        <w:rPr>
          <w:rFonts w:ascii="Calibri" w:hAnsi="Calibri"/>
          <w:color w:val="444444"/>
          <w:szCs w:val="15"/>
        </w:rPr>
        <w:t xml:space="preserve"> indicates that the ZA either failed to read the letters presented on or before that date or</w:t>
      </w:r>
      <w:r w:rsidR="00BD4E71">
        <w:rPr>
          <w:rFonts w:ascii="Calibri" w:hAnsi="Calibri"/>
          <w:color w:val="444444"/>
          <w:szCs w:val="15"/>
        </w:rPr>
        <w:t xml:space="preserve"> totally forgot what he</w:t>
      </w:r>
      <w:r w:rsidR="0010676B">
        <w:rPr>
          <w:rFonts w:ascii="Calibri" w:hAnsi="Calibri"/>
          <w:color w:val="444444"/>
          <w:szCs w:val="15"/>
        </w:rPr>
        <w:t xml:space="preserve"> </w:t>
      </w:r>
      <w:r w:rsidR="00BD4E71">
        <w:rPr>
          <w:rFonts w:ascii="Calibri" w:hAnsi="Calibri"/>
          <w:color w:val="444444"/>
          <w:szCs w:val="15"/>
        </w:rPr>
        <w:t>had seen</w:t>
      </w:r>
      <w:r w:rsidR="007534D5">
        <w:rPr>
          <w:rFonts w:ascii="Calibri" w:hAnsi="Calibri"/>
          <w:color w:val="444444"/>
          <w:szCs w:val="15"/>
        </w:rPr>
        <w:t xml:space="preserve"> by the time he wrote the opinion dated October 2, 2014</w:t>
      </w:r>
      <w:r w:rsidR="00BD4E71">
        <w:rPr>
          <w:rFonts w:ascii="Calibri" w:hAnsi="Calibri"/>
          <w:color w:val="444444"/>
          <w:szCs w:val="15"/>
        </w:rPr>
        <w:t>. Attached here</w:t>
      </w:r>
      <w:r w:rsidR="00E20458">
        <w:rPr>
          <w:rFonts w:ascii="Calibri" w:hAnsi="Calibri"/>
          <w:color w:val="444444"/>
          <w:szCs w:val="15"/>
        </w:rPr>
        <w:t xml:space="preserve">to as group </w:t>
      </w:r>
      <w:r w:rsidR="00E20458" w:rsidRPr="00E20458">
        <w:rPr>
          <w:rFonts w:ascii="Calibri" w:hAnsi="Calibri"/>
          <w:b/>
          <w:color w:val="444444"/>
          <w:szCs w:val="15"/>
        </w:rPr>
        <w:t>Exhibit E</w:t>
      </w:r>
      <w:r w:rsidR="0010676B">
        <w:rPr>
          <w:rFonts w:ascii="Calibri" w:hAnsi="Calibri"/>
          <w:color w:val="444444"/>
          <w:szCs w:val="15"/>
        </w:rPr>
        <w:t xml:space="preserve"> are</w:t>
      </w:r>
      <w:r w:rsidR="00BD4E71">
        <w:rPr>
          <w:rFonts w:ascii="Calibri" w:hAnsi="Calibri"/>
          <w:color w:val="444444"/>
          <w:szCs w:val="15"/>
        </w:rPr>
        <w:t xml:space="preserve"> letter</w:t>
      </w:r>
      <w:r w:rsidR="00216389">
        <w:rPr>
          <w:rFonts w:ascii="Calibri" w:hAnsi="Calibri"/>
          <w:color w:val="444444"/>
          <w:szCs w:val="15"/>
        </w:rPr>
        <w:t>s</w:t>
      </w:r>
      <w:r w:rsidR="00BD4E71">
        <w:rPr>
          <w:rFonts w:ascii="Calibri" w:hAnsi="Calibri"/>
          <w:color w:val="444444"/>
          <w:szCs w:val="15"/>
        </w:rPr>
        <w:t xml:space="preserve"> sent </w:t>
      </w:r>
      <w:r w:rsidR="0010676B">
        <w:rPr>
          <w:rFonts w:ascii="Calibri" w:hAnsi="Calibri"/>
          <w:color w:val="444444"/>
          <w:szCs w:val="15"/>
        </w:rPr>
        <w:t>or delivered at</w:t>
      </w:r>
      <w:r w:rsidR="005D7960">
        <w:rPr>
          <w:rFonts w:ascii="Calibri" w:hAnsi="Calibri"/>
          <w:color w:val="444444"/>
          <w:szCs w:val="15"/>
        </w:rPr>
        <w:t xml:space="preserve"> or prior to</w:t>
      </w:r>
      <w:r w:rsidR="0010676B">
        <w:rPr>
          <w:rFonts w:ascii="Calibri" w:hAnsi="Calibri"/>
          <w:color w:val="444444"/>
          <w:szCs w:val="15"/>
        </w:rPr>
        <w:t xml:space="preserve"> the hearing, which </w:t>
      </w:r>
      <w:r w:rsidR="007534D5">
        <w:rPr>
          <w:rFonts w:ascii="Calibri" w:hAnsi="Calibri"/>
          <w:color w:val="444444"/>
          <w:szCs w:val="15"/>
        </w:rPr>
        <w:t xml:space="preserve">completely </w:t>
      </w:r>
      <w:r w:rsidR="0010676B">
        <w:rPr>
          <w:rFonts w:ascii="Calibri" w:hAnsi="Calibri"/>
          <w:color w:val="444444"/>
          <w:szCs w:val="15"/>
        </w:rPr>
        <w:t>disprove the ZA’s statement</w:t>
      </w:r>
      <w:r w:rsidR="007534D5">
        <w:rPr>
          <w:rFonts w:ascii="Calibri" w:hAnsi="Calibri"/>
          <w:color w:val="444444"/>
          <w:szCs w:val="15"/>
        </w:rPr>
        <w:t xml:space="preserve"> and therefore prove that the finding is based on a failure to read the evidence</w:t>
      </w:r>
      <w:r w:rsidR="0010676B">
        <w:rPr>
          <w:rFonts w:ascii="Calibri" w:hAnsi="Calibri"/>
          <w:color w:val="444444"/>
          <w:szCs w:val="15"/>
        </w:rPr>
        <w:t xml:space="preserve">. </w:t>
      </w:r>
      <w:r w:rsidR="007534D5">
        <w:rPr>
          <w:rFonts w:ascii="Calibri" w:hAnsi="Calibri"/>
          <w:color w:val="444444"/>
          <w:szCs w:val="15"/>
        </w:rPr>
        <w:t xml:space="preserve">A multitude of letters came in from the public and various experts commenting on both the consultant’s December 2012 “Response to Comments Report” and the June 2013 Subsequent MND based on those responses. The letters and comments and reports attached as EXHIBIT E were obviously not reviewed by the ZA, since he states they were not received, hence the finding that the MND represents the independent judgment of the city is </w:t>
      </w:r>
      <w:r w:rsidR="003B6B73">
        <w:rPr>
          <w:rFonts w:ascii="Calibri" w:hAnsi="Calibri"/>
          <w:color w:val="444444"/>
          <w:szCs w:val="15"/>
        </w:rPr>
        <w:t>false</w:t>
      </w:r>
      <w:r w:rsidR="007534D5">
        <w:rPr>
          <w:rFonts w:ascii="Calibri" w:hAnsi="Calibri"/>
          <w:color w:val="444444"/>
          <w:szCs w:val="15"/>
        </w:rPr>
        <w:t xml:space="preserve">, it represents nothing more than the applicant’s consultant’s responses to earlier comments. </w:t>
      </w:r>
      <w:r w:rsidR="005D7960">
        <w:rPr>
          <w:rFonts w:ascii="Calibri" w:hAnsi="Calibri"/>
          <w:color w:val="444444"/>
          <w:szCs w:val="15"/>
        </w:rPr>
        <w:t xml:space="preserve">In particular, please review the letter from Appellant’s consultant, GEO CONCEPTS INC., dated July 16, 2013, pointing out the deficiencies in the geotechnical consultant’s report and </w:t>
      </w:r>
      <w:proofErr w:type="gramStart"/>
      <w:r w:rsidR="005D7960">
        <w:rPr>
          <w:rFonts w:ascii="Calibri" w:hAnsi="Calibri"/>
          <w:color w:val="444444"/>
          <w:szCs w:val="15"/>
        </w:rPr>
        <w:t>concluding that</w:t>
      </w:r>
      <w:proofErr w:type="gramEnd"/>
      <w:r w:rsidR="005D7960">
        <w:rPr>
          <w:rFonts w:ascii="Calibri" w:hAnsi="Calibri"/>
          <w:color w:val="444444"/>
          <w:szCs w:val="15"/>
        </w:rPr>
        <w:t xml:space="preserve">  “the proposed project is exposed to numerous unknowns in regard to safety during and after the development.” (</w:t>
      </w:r>
      <w:proofErr w:type="gramStart"/>
      <w:r w:rsidR="005D7960">
        <w:rPr>
          <w:rFonts w:ascii="Calibri" w:hAnsi="Calibri"/>
          <w:color w:val="444444"/>
          <w:szCs w:val="15"/>
        </w:rPr>
        <w:t>id</w:t>
      </w:r>
      <w:proofErr w:type="gramEnd"/>
      <w:r w:rsidR="005D7960">
        <w:rPr>
          <w:rFonts w:ascii="Calibri" w:hAnsi="Calibri"/>
          <w:color w:val="444444"/>
          <w:szCs w:val="15"/>
        </w:rPr>
        <w:t xml:space="preserve">, p.1)  This letter also points out that the groundwater affects were not fully discussed, concluding with a Question for the </w:t>
      </w:r>
      <w:proofErr w:type="gramStart"/>
      <w:r w:rsidR="005D7960">
        <w:rPr>
          <w:rFonts w:ascii="Calibri" w:hAnsi="Calibri"/>
          <w:color w:val="444444"/>
          <w:szCs w:val="15"/>
        </w:rPr>
        <w:t xml:space="preserve">ZA </w:t>
      </w:r>
      <w:r w:rsidR="00D45260">
        <w:rPr>
          <w:rFonts w:ascii="Calibri" w:hAnsi="Calibri"/>
          <w:color w:val="444444"/>
          <w:szCs w:val="15"/>
        </w:rPr>
        <w:t xml:space="preserve"> </w:t>
      </w:r>
      <w:r w:rsidR="005D7960">
        <w:rPr>
          <w:rFonts w:ascii="Calibri" w:hAnsi="Calibri"/>
          <w:color w:val="444444"/>
          <w:szCs w:val="15"/>
        </w:rPr>
        <w:t>which</w:t>
      </w:r>
      <w:proofErr w:type="gramEnd"/>
      <w:r w:rsidR="005D7960">
        <w:rPr>
          <w:rFonts w:ascii="Calibri" w:hAnsi="Calibri"/>
          <w:color w:val="444444"/>
          <w:szCs w:val="15"/>
        </w:rPr>
        <w:t xml:space="preserve"> has not been answered:</w:t>
      </w:r>
    </w:p>
    <w:p w:rsidR="005D7960" w:rsidRDefault="005D7960" w:rsidP="005D7960">
      <w:pPr>
        <w:ind w:left="504" w:right="792"/>
        <w:rPr>
          <w:rFonts w:ascii="Calibri" w:hAnsi="Calibri"/>
          <w:color w:val="444444"/>
          <w:szCs w:val="15"/>
        </w:rPr>
      </w:pPr>
      <w:r>
        <w:rPr>
          <w:rFonts w:ascii="Calibri" w:hAnsi="Calibri"/>
          <w:color w:val="444444"/>
          <w:szCs w:val="15"/>
        </w:rPr>
        <w:t xml:space="preserve"> How can the site be dewatered at the same time that it is </w:t>
      </w:r>
      <w:r w:rsidR="00D45260">
        <w:rPr>
          <w:rFonts w:ascii="Calibri" w:hAnsi="Calibri"/>
          <w:color w:val="444444"/>
          <w:szCs w:val="15"/>
        </w:rPr>
        <w:t xml:space="preserve">[to] </w:t>
      </w:r>
      <w:r>
        <w:rPr>
          <w:rFonts w:ascii="Calibri" w:hAnsi="Calibri"/>
          <w:color w:val="444444"/>
          <w:szCs w:val="15"/>
        </w:rPr>
        <w:t xml:space="preserve">have water infiltrated into the ground? Landslides are cause by groundwater and infiltration of water into the slopes. Therefore, the groundwater at the site, surface drainage, irrigation and filtration are extremely important in regard to safety during and after construction. These items have not been adequately addressed. </w:t>
      </w:r>
    </w:p>
    <w:p w:rsidR="005D7960" w:rsidRDefault="005D7960">
      <w:pPr>
        <w:rPr>
          <w:rFonts w:ascii="Calibri" w:hAnsi="Calibri"/>
          <w:color w:val="444444"/>
          <w:szCs w:val="15"/>
        </w:rPr>
      </w:pPr>
    </w:p>
    <w:p w:rsidR="00620601" w:rsidRDefault="00A67476">
      <w:pPr>
        <w:rPr>
          <w:rFonts w:ascii="Calibri" w:hAnsi="Calibri"/>
          <w:color w:val="444444"/>
          <w:szCs w:val="15"/>
        </w:rPr>
      </w:pPr>
      <w:r>
        <w:rPr>
          <w:rFonts w:ascii="Calibri" w:hAnsi="Calibri"/>
          <w:color w:val="444444"/>
          <w:szCs w:val="15"/>
        </w:rPr>
        <w:t xml:space="preserve">See also, in </w:t>
      </w:r>
      <w:r w:rsidRPr="007534D5">
        <w:rPr>
          <w:rFonts w:ascii="Calibri" w:hAnsi="Calibri"/>
          <w:b/>
          <w:color w:val="444444"/>
          <w:szCs w:val="15"/>
        </w:rPr>
        <w:t>E</w:t>
      </w:r>
      <w:r w:rsidR="00F8545C">
        <w:rPr>
          <w:rFonts w:ascii="Calibri" w:hAnsi="Calibri"/>
          <w:b/>
          <w:color w:val="444444"/>
          <w:szCs w:val="15"/>
        </w:rPr>
        <w:t>XHIBIT</w:t>
      </w:r>
      <w:r w:rsidRPr="007534D5">
        <w:rPr>
          <w:rFonts w:ascii="Calibri" w:hAnsi="Calibri"/>
          <w:b/>
          <w:color w:val="444444"/>
          <w:szCs w:val="15"/>
        </w:rPr>
        <w:t xml:space="preserve"> E</w:t>
      </w:r>
      <w:r>
        <w:rPr>
          <w:rFonts w:ascii="Calibri" w:hAnsi="Calibri"/>
          <w:color w:val="444444"/>
          <w:szCs w:val="15"/>
        </w:rPr>
        <w:t>, the letter</w:t>
      </w:r>
      <w:r w:rsidR="007534D5">
        <w:rPr>
          <w:rFonts w:ascii="Calibri" w:hAnsi="Calibri"/>
          <w:color w:val="444444"/>
          <w:szCs w:val="15"/>
        </w:rPr>
        <w:t>s</w:t>
      </w:r>
      <w:r>
        <w:rPr>
          <w:rFonts w:ascii="Calibri" w:hAnsi="Calibri"/>
          <w:color w:val="444444"/>
          <w:szCs w:val="15"/>
        </w:rPr>
        <w:t xml:space="preserve"> of comment from Dale Glenn Engineering Geology, Inc., dated July 18, 2013, concluding the project “has not adequately explored and addressed all of the indigenous geologic and environmental hazards”, and moving forward “could pose a hazard and create irreversible damage to adjoining properties and to the environment” (id, p.2), and from Ralph Stone &amp; Company, Inc. dated </w:t>
      </w:r>
      <w:r w:rsidR="00F8545C">
        <w:rPr>
          <w:rFonts w:ascii="Calibri" w:hAnsi="Calibri"/>
          <w:color w:val="444444"/>
          <w:szCs w:val="15"/>
        </w:rPr>
        <w:t xml:space="preserve">April 18, 2013 and </w:t>
      </w:r>
      <w:r>
        <w:rPr>
          <w:rFonts w:ascii="Calibri" w:hAnsi="Calibri"/>
          <w:color w:val="444444"/>
          <w:szCs w:val="15"/>
        </w:rPr>
        <w:t xml:space="preserve">July 17, 2013, itemizing the information missing from the applicant’s reports. How can the ZA conclude that no comments </w:t>
      </w:r>
      <w:r w:rsidR="00F8545C">
        <w:rPr>
          <w:rFonts w:ascii="Calibri" w:hAnsi="Calibri"/>
          <w:color w:val="444444"/>
          <w:szCs w:val="15"/>
        </w:rPr>
        <w:t>t</w:t>
      </w:r>
      <w:r>
        <w:rPr>
          <w:rFonts w:ascii="Calibri" w:hAnsi="Calibri"/>
          <w:color w:val="444444"/>
          <w:szCs w:val="15"/>
        </w:rPr>
        <w:t>o the MND were received prior to the July 18</w:t>
      </w:r>
      <w:r w:rsidR="00F8545C">
        <w:rPr>
          <w:rFonts w:ascii="Calibri" w:hAnsi="Calibri"/>
          <w:color w:val="444444"/>
          <w:szCs w:val="15"/>
        </w:rPr>
        <w:t>th</w:t>
      </w:r>
      <w:r>
        <w:rPr>
          <w:rFonts w:ascii="Calibri" w:hAnsi="Calibri"/>
          <w:color w:val="444444"/>
          <w:szCs w:val="15"/>
        </w:rPr>
        <w:t xml:space="preserve"> hearing date</w:t>
      </w:r>
      <w:r w:rsidR="00F8545C">
        <w:rPr>
          <w:rFonts w:ascii="Calibri" w:hAnsi="Calibri"/>
          <w:color w:val="444444"/>
          <w:szCs w:val="15"/>
        </w:rPr>
        <w:t>, and based on that statement</w:t>
      </w:r>
      <w:r>
        <w:rPr>
          <w:rFonts w:ascii="Calibri" w:hAnsi="Calibri"/>
          <w:color w:val="444444"/>
          <w:szCs w:val="15"/>
        </w:rPr>
        <w:t xml:space="preserve"> conclude that the MND was adequate? Cleary this is unsustainable under C</w:t>
      </w:r>
      <w:r w:rsidR="007534D5">
        <w:rPr>
          <w:rFonts w:ascii="Calibri" w:hAnsi="Calibri"/>
          <w:color w:val="444444"/>
          <w:szCs w:val="15"/>
        </w:rPr>
        <w:t>EQA, which requires an EIR when</w:t>
      </w:r>
      <w:r>
        <w:rPr>
          <w:rFonts w:ascii="Calibri" w:hAnsi="Calibri"/>
          <w:color w:val="444444"/>
          <w:szCs w:val="15"/>
        </w:rPr>
        <w:t xml:space="preserve"> experts and the public have raised fair argument</w:t>
      </w:r>
      <w:r w:rsidR="00620601">
        <w:rPr>
          <w:rFonts w:ascii="Calibri" w:hAnsi="Calibri"/>
          <w:color w:val="444444"/>
          <w:szCs w:val="15"/>
        </w:rPr>
        <w:t>s</w:t>
      </w:r>
      <w:r>
        <w:rPr>
          <w:rFonts w:ascii="Calibri" w:hAnsi="Calibri"/>
          <w:color w:val="444444"/>
          <w:szCs w:val="15"/>
        </w:rPr>
        <w:t xml:space="preserve"> that critical issu</w:t>
      </w:r>
      <w:r w:rsidR="00620601">
        <w:rPr>
          <w:rFonts w:ascii="Calibri" w:hAnsi="Calibri"/>
          <w:color w:val="444444"/>
          <w:szCs w:val="15"/>
        </w:rPr>
        <w:t>es have not</w:t>
      </w:r>
      <w:r>
        <w:rPr>
          <w:rFonts w:ascii="Calibri" w:hAnsi="Calibri"/>
          <w:color w:val="444444"/>
          <w:szCs w:val="15"/>
        </w:rPr>
        <w:t xml:space="preserve"> been </w:t>
      </w:r>
      <w:r w:rsidR="00620601">
        <w:rPr>
          <w:rFonts w:ascii="Calibri" w:hAnsi="Calibri"/>
          <w:color w:val="444444"/>
          <w:szCs w:val="15"/>
        </w:rPr>
        <w:t>adequately addressed or mitigated</w:t>
      </w:r>
      <w:r w:rsidR="007534D5">
        <w:rPr>
          <w:rFonts w:ascii="Calibri" w:hAnsi="Calibri"/>
          <w:color w:val="444444"/>
          <w:szCs w:val="15"/>
        </w:rPr>
        <w:t xml:space="preserve"> by an MND</w:t>
      </w:r>
      <w:r w:rsidR="00620601">
        <w:rPr>
          <w:rFonts w:ascii="Calibri" w:hAnsi="Calibri"/>
          <w:color w:val="444444"/>
          <w:szCs w:val="15"/>
        </w:rPr>
        <w:t>.</w:t>
      </w:r>
      <w:r>
        <w:rPr>
          <w:rFonts w:ascii="Calibri" w:hAnsi="Calibri"/>
          <w:color w:val="444444"/>
          <w:szCs w:val="15"/>
        </w:rPr>
        <w:t xml:space="preserve">  </w:t>
      </w:r>
      <w:r w:rsidR="0010676B">
        <w:rPr>
          <w:rFonts w:ascii="Calibri" w:hAnsi="Calibri"/>
          <w:color w:val="444444"/>
          <w:szCs w:val="15"/>
        </w:rPr>
        <w:t>I am confident</w:t>
      </w:r>
      <w:r w:rsidR="00BD4E71">
        <w:rPr>
          <w:rFonts w:ascii="Calibri" w:hAnsi="Calibri"/>
          <w:color w:val="444444"/>
          <w:szCs w:val="15"/>
        </w:rPr>
        <w:t xml:space="preserve"> you will hear from persons who testified at the hearing</w:t>
      </w:r>
      <w:r w:rsidR="0010676B">
        <w:rPr>
          <w:rFonts w:ascii="Calibri" w:hAnsi="Calibri"/>
          <w:color w:val="444444"/>
          <w:szCs w:val="15"/>
        </w:rPr>
        <w:t xml:space="preserve"> on July 18, 2013</w:t>
      </w:r>
      <w:r w:rsidR="00D45260">
        <w:rPr>
          <w:rFonts w:ascii="Calibri" w:hAnsi="Calibri"/>
          <w:color w:val="444444"/>
          <w:szCs w:val="15"/>
        </w:rPr>
        <w:t xml:space="preserve"> that they did indeed address the deficiencies of the MND, contrary to the ZA’s statement in the LOD.</w:t>
      </w:r>
      <w:r w:rsidR="00BD4E71">
        <w:rPr>
          <w:rFonts w:ascii="Calibri" w:hAnsi="Calibri"/>
          <w:color w:val="444444"/>
          <w:szCs w:val="15"/>
        </w:rPr>
        <w:t xml:space="preserve"> </w:t>
      </w:r>
      <w:r w:rsidR="00041366">
        <w:rPr>
          <w:rFonts w:ascii="Calibri" w:hAnsi="Calibri"/>
          <w:color w:val="444444"/>
          <w:szCs w:val="15"/>
        </w:rPr>
        <w:t>There is no way a court can uphold this decision, which clearly overlo</w:t>
      </w:r>
      <w:r w:rsidR="00BD4E71">
        <w:rPr>
          <w:rFonts w:ascii="Calibri" w:hAnsi="Calibri"/>
          <w:color w:val="444444"/>
          <w:szCs w:val="15"/>
        </w:rPr>
        <w:t xml:space="preserve">oks or misstates the </w:t>
      </w:r>
      <w:r w:rsidR="0010676B">
        <w:rPr>
          <w:rFonts w:ascii="Calibri" w:hAnsi="Calibri"/>
          <w:color w:val="444444"/>
          <w:szCs w:val="15"/>
        </w:rPr>
        <w:t>evidence in</w:t>
      </w:r>
      <w:r w:rsidR="00041366">
        <w:rPr>
          <w:rFonts w:ascii="Calibri" w:hAnsi="Calibri"/>
          <w:color w:val="444444"/>
          <w:szCs w:val="15"/>
        </w:rPr>
        <w:t xml:space="preserve"> the file</w:t>
      </w:r>
      <w:r w:rsidR="00BD4E71">
        <w:rPr>
          <w:rFonts w:ascii="Calibri" w:hAnsi="Calibri"/>
          <w:color w:val="444444"/>
          <w:szCs w:val="15"/>
        </w:rPr>
        <w:t>,</w:t>
      </w:r>
      <w:r w:rsidR="00041366">
        <w:rPr>
          <w:rFonts w:ascii="Calibri" w:hAnsi="Calibri"/>
          <w:color w:val="444444"/>
          <w:szCs w:val="15"/>
        </w:rPr>
        <w:t xml:space="preserve"> and </w:t>
      </w:r>
      <w:r w:rsidR="00BD4E71">
        <w:rPr>
          <w:rFonts w:ascii="Calibri" w:hAnsi="Calibri"/>
          <w:color w:val="444444"/>
          <w:szCs w:val="15"/>
        </w:rPr>
        <w:t xml:space="preserve">thus </w:t>
      </w:r>
      <w:r w:rsidR="00041366">
        <w:rPr>
          <w:rFonts w:ascii="Calibri" w:hAnsi="Calibri"/>
          <w:color w:val="444444"/>
          <w:szCs w:val="15"/>
        </w:rPr>
        <w:t>misstates the case to you.</w:t>
      </w:r>
      <w:r w:rsidR="007534D5">
        <w:rPr>
          <w:rFonts w:ascii="Calibri" w:hAnsi="Calibri"/>
          <w:color w:val="444444"/>
          <w:szCs w:val="15"/>
        </w:rPr>
        <w:t xml:space="preserve"> We are attaching the letters in </w:t>
      </w:r>
      <w:r w:rsidR="007534D5" w:rsidRPr="00F8545C">
        <w:rPr>
          <w:rFonts w:ascii="Calibri" w:hAnsi="Calibri"/>
          <w:b/>
          <w:color w:val="444444"/>
          <w:szCs w:val="15"/>
        </w:rPr>
        <w:t xml:space="preserve">EXHIBIT E </w:t>
      </w:r>
      <w:r w:rsidR="007534D5">
        <w:rPr>
          <w:rFonts w:ascii="Calibri" w:hAnsi="Calibri"/>
          <w:color w:val="444444"/>
          <w:szCs w:val="15"/>
        </w:rPr>
        <w:t>in an overabundance of caution so that they are not lost or overlooked if and when the administrative record</w:t>
      </w:r>
      <w:r w:rsidR="00F8545C">
        <w:rPr>
          <w:rFonts w:ascii="Calibri" w:hAnsi="Calibri"/>
          <w:color w:val="444444"/>
          <w:szCs w:val="15"/>
        </w:rPr>
        <w:t xml:space="preserve"> is needed</w:t>
      </w:r>
      <w:r w:rsidR="007534D5">
        <w:rPr>
          <w:rFonts w:ascii="Calibri" w:hAnsi="Calibri"/>
          <w:color w:val="444444"/>
          <w:szCs w:val="15"/>
        </w:rPr>
        <w:t xml:space="preserve"> for court review in the future.</w:t>
      </w:r>
      <w:r w:rsidR="007C0274">
        <w:rPr>
          <w:rFonts w:ascii="Calibri" w:hAnsi="Calibri"/>
          <w:color w:val="444444"/>
          <w:szCs w:val="15"/>
        </w:rPr>
        <w:t xml:space="preserve"> An excellent explication of the geologic issues and the application </w:t>
      </w:r>
      <w:proofErr w:type="gramStart"/>
      <w:r w:rsidR="007C0274">
        <w:rPr>
          <w:rFonts w:ascii="Calibri" w:hAnsi="Calibri"/>
          <w:color w:val="444444"/>
          <w:szCs w:val="15"/>
        </w:rPr>
        <w:t>of  CEQA</w:t>
      </w:r>
      <w:proofErr w:type="gramEnd"/>
      <w:r w:rsidR="007C0274">
        <w:rPr>
          <w:rFonts w:ascii="Calibri" w:hAnsi="Calibri"/>
          <w:color w:val="444444"/>
          <w:szCs w:val="15"/>
        </w:rPr>
        <w:t xml:space="preserve"> cases requiring preparation of an EIR rather than an MND under these circumstances  is presented in the letter dated June 14, 2013 from the Pacific Palisades Community Council, hence I need not reiterate the presentation therein made but refer you to the contents for full review.</w:t>
      </w:r>
      <w:r w:rsidR="00041366">
        <w:rPr>
          <w:rFonts w:ascii="Calibri" w:hAnsi="Calibri"/>
          <w:color w:val="444444"/>
          <w:szCs w:val="15"/>
        </w:rPr>
        <w:t xml:space="preserve"> </w:t>
      </w:r>
      <w:r w:rsidR="00964DA4">
        <w:rPr>
          <w:rFonts w:ascii="Calibri" w:hAnsi="Calibri"/>
          <w:color w:val="444444"/>
          <w:szCs w:val="15"/>
        </w:rPr>
        <w:t>The city will</w:t>
      </w:r>
      <w:r w:rsidR="008C29E6">
        <w:rPr>
          <w:rFonts w:ascii="Calibri" w:hAnsi="Calibri"/>
          <w:color w:val="444444"/>
          <w:szCs w:val="15"/>
        </w:rPr>
        <w:t xml:space="preserve"> </w:t>
      </w:r>
      <w:r w:rsidR="007C0274">
        <w:rPr>
          <w:rFonts w:ascii="Calibri" w:hAnsi="Calibri"/>
          <w:color w:val="444444"/>
          <w:szCs w:val="15"/>
        </w:rPr>
        <w:t xml:space="preserve">clearly </w:t>
      </w:r>
      <w:r w:rsidR="008C29E6">
        <w:rPr>
          <w:rFonts w:ascii="Calibri" w:hAnsi="Calibri"/>
          <w:color w:val="444444"/>
          <w:szCs w:val="15"/>
        </w:rPr>
        <w:t>subject itself and the applicant to litigation if the decision of the ZA is approved on the present record. There is no debating the fact that there are disagreements among s</w:t>
      </w:r>
      <w:r w:rsidR="00964DA4">
        <w:rPr>
          <w:rFonts w:ascii="Calibri" w:hAnsi="Calibri"/>
          <w:color w:val="444444"/>
          <w:szCs w:val="15"/>
        </w:rPr>
        <w:t>everal experts</w:t>
      </w:r>
      <w:r w:rsidR="00BD4E71">
        <w:rPr>
          <w:rFonts w:ascii="Calibri" w:hAnsi="Calibri"/>
          <w:color w:val="444444"/>
          <w:szCs w:val="15"/>
        </w:rPr>
        <w:t xml:space="preserve"> in the record</w:t>
      </w:r>
      <w:r w:rsidR="00964DA4">
        <w:rPr>
          <w:rFonts w:ascii="Calibri" w:hAnsi="Calibri"/>
          <w:color w:val="444444"/>
          <w:szCs w:val="15"/>
        </w:rPr>
        <w:t>, giving rise to</w:t>
      </w:r>
      <w:r w:rsidR="008C29E6">
        <w:rPr>
          <w:rFonts w:ascii="Calibri" w:hAnsi="Calibri"/>
          <w:color w:val="444444"/>
          <w:szCs w:val="15"/>
        </w:rPr>
        <w:t xml:space="preserve"> fair argument</w:t>
      </w:r>
      <w:r w:rsidR="00BD4E71">
        <w:rPr>
          <w:rFonts w:ascii="Calibri" w:hAnsi="Calibri"/>
          <w:color w:val="444444"/>
          <w:szCs w:val="15"/>
        </w:rPr>
        <w:t xml:space="preserve">s made </w:t>
      </w:r>
      <w:r w:rsidR="0010676B">
        <w:rPr>
          <w:rFonts w:ascii="Calibri" w:hAnsi="Calibri"/>
          <w:color w:val="444444"/>
          <w:szCs w:val="15"/>
        </w:rPr>
        <w:t>by many</w:t>
      </w:r>
      <w:r w:rsidR="00964DA4">
        <w:rPr>
          <w:rFonts w:ascii="Calibri" w:hAnsi="Calibri"/>
          <w:color w:val="444444"/>
          <w:szCs w:val="15"/>
        </w:rPr>
        <w:t xml:space="preserve"> appellants</w:t>
      </w:r>
      <w:r w:rsidR="008C29E6">
        <w:rPr>
          <w:rFonts w:ascii="Calibri" w:hAnsi="Calibri"/>
          <w:color w:val="444444"/>
          <w:szCs w:val="15"/>
        </w:rPr>
        <w:t xml:space="preserve"> that there may be serious adverse impacts requiring mitigation and analysis of alternatives.</w:t>
      </w:r>
      <w:r w:rsidR="00D83592">
        <w:rPr>
          <w:rFonts w:ascii="Calibri" w:hAnsi="Calibri"/>
          <w:color w:val="444444"/>
          <w:szCs w:val="15"/>
        </w:rPr>
        <w:t xml:space="preserve"> </w:t>
      </w:r>
      <w:r w:rsidR="00964DA4">
        <w:rPr>
          <w:rFonts w:ascii="Calibri" w:hAnsi="Calibri"/>
          <w:color w:val="444444"/>
          <w:szCs w:val="15"/>
        </w:rPr>
        <w:t xml:space="preserve">On behalf of my clients, all of the arguments made by other appellants </w:t>
      </w:r>
      <w:r w:rsidR="00620601">
        <w:rPr>
          <w:rFonts w:ascii="Calibri" w:hAnsi="Calibri"/>
          <w:color w:val="444444"/>
          <w:szCs w:val="15"/>
        </w:rPr>
        <w:t xml:space="preserve">and their representatives </w:t>
      </w:r>
      <w:r w:rsidR="00964DA4">
        <w:rPr>
          <w:rFonts w:ascii="Calibri" w:hAnsi="Calibri"/>
          <w:color w:val="444444"/>
          <w:szCs w:val="15"/>
        </w:rPr>
        <w:t>are incorporated by reference rather than repeated</w:t>
      </w:r>
      <w:r w:rsidR="00BD4E71">
        <w:rPr>
          <w:rFonts w:ascii="Calibri" w:hAnsi="Calibri"/>
          <w:color w:val="444444"/>
          <w:szCs w:val="15"/>
        </w:rPr>
        <w:t>.  However, there are a few important points upon which to focus</w:t>
      </w:r>
      <w:r w:rsidR="00620601">
        <w:rPr>
          <w:rFonts w:ascii="Calibri" w:hAnsi="Calibri"/>
          <w:color w:val="444444"/>
          <w:szCs w:val="15"/>
        </w:rPr>
        <w:t xml:space="preserve"> attention</w:t>
      </w:r>
      <w:r w:rsidR="00BD4E71">
        <w:rPr>
          <w:rFonts w:ascii="Calibri" w:hAnsi="Calibri"/>
          <w:color w:val="444444"/>
          <w:szCs w:val="15"/>
        </w:rPr>
        <w:t>.</w:t>
      </w:r>
    </w:p>
    <w:p w:rsidR="0010676B" w:rsidRDefault="0010676B">
      <w:pPr>
        <w:rPr>
          <w:rFonts w:ascii="Calibri" w:hAnsi="Calibri"/>
          <w:color w:val="444444"/>
          <w:szCs w:val="15"/>
        </w:rPr>
      </w:pPr>
    </w:p>
    <w:p w:rsidR="00CA0F15" w:rsidRDefault="00620601">
      <w:pPr>
        <w:rPr>
          <w:rFonts w:ascii="Calibri" w:hAnsi="Calibri"/>
          <w:color w:val="444444"/>
          <w:szCs w:val="15"/>
        </w:rPr>
      </w:pPr>
      <w:r w:rsidRPr="00620601">
        <w:rPr>
          <w:rFonts w:ascii="Calibri" w:hAnsi="Calibri"/>
          <w:b/>
          <w:color w:val="444444"/>
          <w:szCs w:val="15"/>
        </w:rPr>
        <w:t xml:space="preserve"> </w:t>
      </w:r>
      <w:r w:rsidR="00CA0F15">
        <w:rPr>
          <w:rFonts w:ascii="Calibri" w:hAnsi="Calibri"/>
          <w:b/>
          <w:color w:val="444444"/>
          <w:szCs w:val="15"/>
        </w:rPr>
        <w:t xml:space="preserve">  </w:t>
      </w:r>
      <w:r w:rsidRPr="00620601">
        <w:rPr>
          <w:rFonts w:ascii="Calibri" w:hAnsi="Calibri"/>
          <w:b/>
          <w:color w:val="444444"/>
          <w:szCs w:val="15"/>
        </w:rPr>
        <w:t>Density Called for in Coastal Commission’s Regional Guidelines Violated</w:t>
      </w:r>
      <w:r>
        <w:rPr>
          <w:rFonts w:ascii="Calibri" w:hAnsi="Calibri"/>
          <w:color w:val="444444"/>
          <w:szCs w:val="15"/>
        </w:rPr>
        <w:t xml:space="preserve">. </w:t>
      </w:r>
      <w:r w:rsidR="0010676B">
        <w:rPr>
          <w:rFonts w:ascii="Calibri" w:hAnsi="Calibri"/>
          <w:color w:val="444444"/>
          <w:szCs w:val="15"/>
        </w:rPr>
        <w:t>The ZA’s finding that 49 units is an acceptable density despite the Coastal Commission Regional Guidelines calling for a maximum of 24 units is incomprehensible</w:t>
      </w:r>
      <w:r w:rsidR="007812BF">
        <w:rPr>
          <w:rFonts w:ascii="Calibri" w:hAnsi="Calibri"/>
          <w:color w:val="444444"/>
          <w:szCs w:val="15"/>
        </w:rPr>
        <w:t>, given t</w:t>
      </w:r>
      <w:r>
        <w:rPr>
          <w:rFonts w:ascii="Calibri" w:hAnsi="Calibri"/>
          <w:color w:val="444444"/>
          <w:szCs w:val="15"/>
        </w:rPr>
        <w:t>h</w:t>
      </w:r>
      <w:r w:rsidR="007812BF">
        <w:rPr>
          <w:rFonts w:ascii="Calibri" w:hAnsi="Calibri"/>
          <w:color w:val="444444"/>
          <w:szCs w:val="15"/>
        </w:rPr>
        <w:t xml:space="preserve">at this same rationale was rejected in the </w:t>
      </w:r>
      <w:r w:rsidR="007812BF" w:rsidRPr="00620601">
        <w:rPr>
          <w:rFonts w:ascii="Calibri" w:hAnsi="Calibri"/>
          <w:b/>
          <w:color w:val="444444"/>
          <w:szCs w:val="15"/>
        </w:rPr>
        <w:t>Coaloa</w:t>
      </w:r>
      <w:r w:rsidR="007812BF">
        <w:rPr>
          <w:rFonts w:ascii="Calibri" w:hAnsi="Calibri"/>
          <w:color w:val="444444"/>
          <w:szCs w:val="15"/>
        </w:rPr>
        <w:t xml:space="preserve"> case two blocks away</w:t>
      </w:r>
      <w:r w:rsidR="0010676B">
        <w:rPr>
          <w:rFonts w:ascii="Calibri" w:hAnsi="Calibri"/>
          <w:color w:val="444444"/>
          <w:szCs w:val="15"/>
        </w:rPr>
        <w:t xml:space="preserve">. The rationale offered </w:t>
      </w:r>
      <w:r w:rsidR="007812BF">
        <w:rPr>
          <w:rFonts w:ascii="Calibri" w:hAnsi="Calibri"/>
          <w:color w:val="444444"/>
          <w:szCs w:val="15"/>
        </w:rPr>
        <w:t>in the current Letter of Determination</w:t>
      </w:r>
      <w:r w:rsidR="003D2544">
        <w:rPr>
          <w:rFonts w:ascii="Calibri" w:hAnsi="Calibri"/>
          <w:color w:val="444444"/>
          <w:szCs w:val="15"/>
        </w:rPr>
        <w:t xml:space="preserve"> (</w:t>
      </w:r>
      <w:r w:rsidR="00E20458">
        <w:rPr>
          <w:rFonts w:ascii="Calibri" w:hAnsi="Calibri"/>
          <w:color w:val="444444"/>
          <w:szCs w:val="15"/>
        </w:rPr>
        <w:t>“</w:t>
      </w:r>
      <w:r w:rsidR="003D2544">
        <w:rPr>
          <w:rFonts w:ascii="Calibri" w:hAnsi="Calibri"/>
          <w:color w:val="444444"/>
          <w:szCs w:val="15"/>
        </w:rPr>
        <w:t>LOD</w:t>
      </w:r>
      <w:r w:rsidR="00E20458">
        <w:rPr>
          <w:rFonts w:ascii="Calibri" w:hAnsi="Calibri"/>
          <w:color w:val="444444"/>
          <w:szCs w:val="15"/>
        </w:rPr>
        <w:t>”</w:t>
      </w:r>
      <w:r w:rsidR="003D2544">
        <w:rPr>
          <w:rFonts w:ascii="Calibri" w:hAnsi="Calibri"/>
          <w:color w:val="444444"/>
          <w:szCs w:val="15"/>
        </w:rPr>
        <w:t xml:space="preserve"> at p.29-30) </w:t>
      </w:r>
      <w:r w:rsidR="0010676B">
        <w:rPr>
          <w:rFonts w:ascii="Calibri" w:hAnsi="Calibri"/>
          <w:color w:val="444444"/>
          <w:szCs w:val="15"/>
        </w:rPr>
        <w:t>is that there are other buildings</w:t>
      </w:r>
      <w:r w:rsidR="003D2544">
        <w:rPr>
          <w:rFonts w:ascii="Calibri" w:hAnsi="Calibri"/>
          <w:color w:val="444444"/>
          <w:szCs w:val="15"/>
        </w:rPr>
        <w:t xml:space="preserve"> nearby</w:t>
      </w:r>
      <w:r w:rsidR="0010676B">
        <w:rPr>
          <w:rFonts w:ascii="Calibri" w:hAnsi="Calibri"/>
          <w:color w:val="444444"/>
          <w:szCs w:val="15"/>
        </w:rPr>
        <w:t xml:space="preserve"> that exceed this density </w:t>
      </w:r>
      <w:r w:rsidR="003D2544">
        <w:rPr>
          <w:rFonts w:ascii="Calibri" w:hAnsi="Calibri"/>
          <w:color w:val="444444"/>
          <w:szCs w:val="15"/>
        </w:rPr>
        <w:t>a</w:t>
      </w:r>
      <w:r w:rsidR="0010676B">
        <w:rPr>
          <w:rFonts w:ascii="Calibri" w:hAnsi="Calibri"/>
          <w:color w:val="444444"/>
          <w:szCs w:val="15"/>
        </w:rPr>
        <w:t>nd it is only a “guideline” that</w:t>
      </w:r>
      <w:r w:rsidR="003D2544">
        <w:rPr>
          <w:rFonts w:ascii="Calibri" w:hAnsi="Calibri"/>
          <w:color w:val="444444"/>
          <w:szCs w:val="15"/>
        </w:rPr>
        <w:t xml:space="preserve"> was developed in the 1970’s that</w:t>
      </w:r>
      <w:r w:rsidR="0010676B">
        <w:rPr>
          <w:rFonts w:ascii="Calibri" w:hAnsi="Calibri"/>
          <w:color w:val="444444"/>
          <w:szCs w:val="15"/>
        </w:rPr>
        <w:t xml:space="preserve"> has not been updated.</w:t>
      </w:r>
      <w:r w:rsidR="007812BF">
        <w:rPr>
          <w:rFonts w:ascii="Calibri" w:hAnsi="Calibri"/>
          <w:color w:val="444444"/>
          <w:szCs w:val="15"/>
        </w:rPr>
        <w:t xml:space="preserve"> In the </w:t>
      </w:r>
      <w:r w:rsidR="007812BF" w:rsidRPr="00E20458">
        <w:rPr>
          <w:rFonts w:ascii="Calibri" w:hAnsi="Calibri"/>
          <w:b/>
          <w:color w:val="444444"/>
          <w:szCs w:val="15"/>
        </w:rPr>
        <w:t>Coaloa</w:t>
      </w:r>
      <w:r w:rsidR="007812BF">
        <w:rPr>
          <w:rFonts w:ascii="Calibri" w:hAnsi="Calibri"/>
          <w:color w:val="444444"/>
          <w:szCs w:val="15"/>
        </w:rPr>
        <w:t xml:space="preserve"> case, we recall that the ZA tried to tell this Commission at the hearing that the Coastal Commission Staff was uncertain about the effect of the Guidelines and the exact line of e “dual permit” area. That was resolved by this Commission’s decision to deny the project. In the Appeal to the Coastal Commission, it was stated in the Staff report that based on maps in the South Coast District office, the property was indeed in the d</w:t>
      </w:r>
      <w:r w:rsidR="00584179">
        <w:rPr>
          <w:rFonts w:ascii="Calibri" w:hAnsi="Calibri"/>
          <w:color w:val="444444"/>
          <w:szCs w:val="15"/>
        </w:rPr>
        <w:t>ual permit zone (</w:t>
      </w:r>
      <w:r w:rsidR="00584179" w:rsidRPr="00584179">
        <w:rPr>
          <w:rFonts w:ascii="Calibri" w:hAnsi="Calibri"/>
          <w:b/>
          <w:color w:val="444444"/>
          <w:szCs w:val="15"/>
        </w:rPr>
        <w:t>See Exhibit C</w:t>
      </w:r>
      <w:r w:rsidR="00584179">
        <w:rPr>
          <w:rFonts w:ascii="Calibri" w:hAnsi="Calibri"/>
          <w:color w:val="444444"/>
          <w:szCs w:val="15"/>
        </w:rPr>
        <w:t xml:space="preserve"> </w:t>
      </w:r>
      <w:r w:rsidR="007812BF">
        <w:rPr>
          <w:rFonts w:ascii="Calibri" w:hAnsi="Calibri"/>
          <w:color w:val="444444"/>
          <w:szCs w:val="15"/>
        </w:rPr>
        <w:t xml:space="preserve">hereto at page 5). In the instant case, the city’s ZIMAS listing says this property is also in the dual permit zone. </w:t>
      </w:r>
      <w:r w:rsidR="0010676B">
        <w:rPr>
          <w:rFonts w:ascii="Calibri" w:hAnsi="Calibri"/>
          <w:color w:val="444444"/>
          <w:szCs w:val="15"/>
        </w:rPr>
        <w:t xml:space="preserve"> The ZA concedes that the other buildings cited by him </w:t>
      </w:r>
      <w:r w:rsidR="0010676B" w:rsidRPr="003D2544">
        <w:rPr>
          <w:rFonts w:ascii="Calibri" w:hAnsi="Calibri"/>
          <w:b/>
          <w:color w:val="444444"/>
          <w:szCs w:val="15"/>
        </w:rPr>
        <w:t xml:space="preserve">were built </w:t>
      </w:r>
      <w:r>
        <w:rPr>
          <w:rFonts w:ascii="Calibri" w:hAnsi="Calibri"/>
          <w:b/>
          <w:color w:val="444444"/>
          <w:szCs w:val="15"/>
        </w:rPr>
        <w:t xml:space="preserve">BEFORE the Coastal Act was </w:t>
      </w:r>
      <w:r w:rsidR="00F8545C">
        <w:rPr>
          <w:rFonts w:ascii="Calibri" w:hAnsi="Calibri"/>
          <w:b/>
          <w:color w:val="444444"/>
          <w:szCs w:val="15"/>
        </w:rPr>
        <w:t>enacted</w:t>
      </w:r>
      <w:r w:rsidR="00F8545C">
        <w:rPr>
          <w:rFonts w:ascii="Calibri" w:hAnsi="Calibri"/>
          <w:color w:val="444444"/>
          <w:szCs w:val="15"/>
        </w:rPr>
        <w:t>;</w:t>
      </w:r>
      <w:r w:rsidR="0010676B">
        <w:rPr>
          <w:rFonts w:ascii="Calibri" w:hAnsi="Calibri"/>
          <w:color w:val="444444"/>
          <w:szCs w:val="15"/>
        </w:rPr>
        <w:t xml:space="preserve"> yet this is brushed aside as unimportant—with no explanation. Obviously, </w:t>
      </w:r>
      <w:r w:rsidR="00584179">
        <w:rPr>
          <w:rFonts w:ascii="Calibri" w:hAnsi="Calibri"/>
          <w:color w:val="444444"/>
          <w:szCs w:val="15"/>
        </w:rPr>
        <w:t xml:space="preserve">it is a </w:t>
      </w:r>
      <w:r w:rsidR="00584179" w:rsidRPr="00620601">
        <w:rPr>
          <w:rFonts w:ascii="Calibri" w:hAnsi="Calibri"/>
          <w:i/>
          <w:color w:val="444444"/>
          <w:szCs w:val="15"/>
        </w:rPr>
        <w:t>critically</w:t>
      </w:r>
      <w:r w:rsidR="00584179">
        <w:rPr>
          <w:rFonts w:ascii="Calibri" w:hAnsi="Calibri"/>
          <w:color w:val="444444"/>
          <w:szCs w:val="15"/>
        </w:rPr>
        <w:t xml:space="preserve"> important fact. T</w:t>
      </w:r>
      <w:r w:rsidR="0010676B">
        <w:rPr>
          <w:rFonts w:ascii="Calibri" w:hAnsi="Calibri"/>
          <w:color w:val="444444"/>
          <w:szCs w:val="15"/>
        </w:rPr>
        <w:t xml:space="preserve">he Coastal Act was passed </w:t>
      </w:r>
      <w:r w:rsidR="0010676B" w:rsidRPr="00CC476F">
        <w:rPr>
          <w:rFonts w:ascii="Calibri" w:hAnsi="Calibri"/>
          <w:b/>
          <w:color w:val="444444"/>
          <w:szCs w:val="15"/>
        </w:rPr>
        <w:t>after voters demanded it by initiative</w:t>
      </w:r>
      <w:r w:rsidR="00584179">
        <w:rPr>
          <w:rFonts w:ascii="Calibri" w:hAnsi="Calibri"/>
          <w:b/>
          <w:color w:val="444444"/>
          <w:szCs w:val="15"/>
        </w:rPr>
        <w:t>,</w:t>
      </w:r>
      <w:r w:rsidR="0010676B">
        <w:rPr>
          <w:rFonts w:ascii="Calibri" w:hAnsi="Calibri"/>
          <w:color w:val="444444"/>
          <w:szCs w:val="15"/>
        </w:rPr>
        <w:t xml:space="preserve"> for the very purpose of curbing the over-built coastline </w:t>
      </w:r>
      <w:r w:rsidR="00584179">
        <w:rPr>
          <w:rFonts w:ascii="Calibri" w:hAnsi="Calibri"/>
          <w:color w:val="444444"/>
          <w:szCs w:val="15"/>
        </w:rPr>
        <w:t xml:space="preserve">by private </w:t>
      </w:r>
      <w:r>
        <w:rPr>
          <w:rFonts w:ascii="Calibri" w:hAnsi="Calibri"/>
          <w:color w:val="444444"/>
          <w:szCs w:val="15"/>
        </w:rPr>
        <w:t>developments, which</w:t>
      </w:r>
      <w:r w:rsidR="00584179">
        <w:rPr>
          <w:rFonts w:ascii="Calibri" w:hAnsi="Calibri"/>
          <w:color w:val="444444"/>
          <w:szCs w:val="15"/>
        </w:rPr>
        <w:t xml:space="preserve"> were</w:t>
      </w:r>
      <w:r w:rsidR="0010676B">
        <w:rPr>
          <w:rFonts w:ascii="Calibri" w:hAnsi="Calibri"/>
          <w:color w:val="444444"/>
          <w:szCs w:val="15"/>
        </w:rPr>
        <w:t xml:space="preserve"> </w:t>
      </w:r>
      <w:r w:rsidR="00584179">
        <w:rPr>
          <w:rFonts w:ascii="Calibri" w:hAnsi="Calibri"/>
          <w:color w:val="444444"/>
          <w:szCs w:val="15"/>
        </w:rPr>
        <w:t xml:space="preserve">rapidly </w:t>
      </w:r>
      <w:r w:rsidR="0010676B">
        <w:rPr>
          <w:rFonts w:ascii="Calibri" w:hAnsi="Calibri"/>
          <w:color w:val="444444"/>
          <w:szCs w:val="15"/>
        </w:rPr>
        <w:t>obliterating all public views of</w:t>
      </w:r>
      <w:r w:rsidR="00584179">
        <w:rPr>
          <w:rFonts w:ascii="Calibri" w:hAnsi="Calibri"/>
          <w:color w:val="444444"/>
          <w:szCs w:val="15"/>
        </w:rPr>
        <w:t>,</w:t>
      </w:r>
      <w:r w:rsidR="0010676B">
        <w:rPr>
          <w:rFonts w:ascii="Calibri" w:hAnsi="Calibri"/>
          <w:color w:val="444444"/>
          <w:szCs w:val="15"/>
        </w:rPr>
        <w:t xml:space="preserve"> </w:t>
      </w:r>
      <w:r w:rsidR="00584179">
        <w:rPr>
          <w:rFonts w:ascii="Calibri" w:hAnsi="Calibri"/>
          <w:color w:val="444444"/>
          <w:szCs w:val="15"/>
        </w:rPr>
        <w:t xml:space="preserve">and access to, </w:t>
      </w:r>
      <w:r w:rsidR="0010676B">
        <w:rPr>
          <w:rFonts w:ascii="Calibri" w:hAnsi="Calibri"/>
          <w:color w:val="444444"/>
          <w:szCs w:val="15"/>
        </w:rPr>
        <w:t>the ocean.</w:t>
      </w:r>
      <w:r w:rsidR="00CC476F">
        <w:rPr>
          <w:rFonts w:ascii="Calibri" w:hAnsi="Calibri"/>
          <w:color w:val="444444"/>
          <w:szCs w:val="15"/>
        </w:rPr>
        <w:t xml:space="preserve"> A traveler from </w:t>
      </w:r>
      <w:r w:rsidR="00584179">
        <w:rPr>
          <w:rFonts w:ascii="Calibri" w:hAnsi="Calibri"/>
          <w:color w:val="444444"/>
          <w:szCs w:val="15"/>
        </w:rPr>
        <w:t>Topanga to Malibu c</w:t>
      </w:r>
      <w:r w:rsidR="007812BF">
        <w:rPr>
          <w:rFonts w:ascii="Calibri" w:hAnsi="Calibri"/>
          <w:color w:val="444444"/>
          <w:szCs w:val="15"/>
        </w:rPr>
        <w:t>ould go 10</w:t>
      </w:r>
      <w:r w:rsidR="00CC476F">
        <w:rPr>
          <w:rFonts w:ascii="Calibri" w:hAnsi="Calibri"/>
          <w:color w:val="444444"/>
          <w:szCs w:val="15"/>
        </w:rPr>
        <w:t xml:space="preserve"> miles on PCH without being able to see the ocean due to the wall-to-wall buildings lini</w:t>
      </w:r>
      <w:r w:rsidR="00584179">
        <w:rPr>
          <w:rFonts w:ascii="Calibri" w:hAnsi="Calibri"/>
          <w:color w:val="444444"/>
          <w:szCs w:val="15"/>
        </w:rPr>
        <w:t>ng the coast. The present proposed</w:t>
      </w:r>
      <w:r w:rsidR="00CC476F">
        <w:rPr>
          <w:rFonts w:ascii="Calibri" w:hAnsi="Calibri"/>
          <w:color w:val="444444"/>
          <w:szCs w:val="15"/>
        </w:rPr>
        <w:t xml:space="preserve"> development and the proposal by Coaloa would do the same for Sunset Boulevard, blocking the last vestiges of ocean views along this designated “scenic highway”. </w:t>
      </w:r>
    </w:p>
    <w:p w:rsidR="00584179" w:rsidRDefault="00584179">
      <w:pPr>
        <w:rPr>
          <w:rFonts w:ascii="Calibri" w:hAnsi="Calibri"/>
          <w:color w:val="444444"/>
          <w:szCs w:val="15"/>
        </w:rPr>
      </w:pPr>
    </w:p>
    <w:p w:rsidR="000F6BFF" w:rsidRDefault="00584179" w:rsidP="000F6BFF">
      <w:pPr>
        <w:jc w:val="both"/>
        <w:rPr>
          <w:rFonts w:ascii="Calibri" w:hAnsi="Calibri"/>
          <w:color w:val="444444"/>
          <w:szCs w:val="15"/>
        </w:rPr>
      </w:pPr>
      <w:r>
        <w:rPr>
          <w:rFonts w:ascii="Calibri" w:hAnsi="Calibri"/>
          <w:color w:val="444444"/>
          <w:szCs w:val="15"/>
        </w:rPr>
        <w:t xml:space="preserve">    </w:t>
      </w:r>
      <w:r w:rsidR="00CC476F">
        <w:rPr>
          <w:rFonts w:ascii="Calibri" w:hAnsi="Calibri"/>
          <w:color w:val="444444"/>
          <w:szCs w:val="15"/>
        </w:rPr>
        <w:t>The ZA’s previ</w:t>
      </w:r>
      <w:r w:rsidR="006F346E">
        <w:rPr>
          <w:rFonts w:ascii="Calibri" w:hAnsi="Calibri"/>
          <w:color w:val="444444"/>
          <w:szCs w:val="15"/>
        </w:rPr>
        <w:t>o</w:t>
      </w:r>
      <w:r w:rsidR="00CC476F">
        <w:rPr>
          <w:rFonts w:ascii="Calibri" w:hAnsi="Calibri"/>
          <w:color w:val="444444"/>
          <w:szCs w:val="15"/>
        </w:rPr>
        <w:t xml:space="preserve">us approval of 49 units </w:t>
      </w:r>
      <w:r w:rsidR="00CC476F" w:rsidRPr="007D0722">
        <w:rPr>
          <w:rFonts w:ascii="Calibri" w:hAnsi="Calibri"/>
          <w:b/>
          <w:color w:val="444444"/>
          <w:szCs w:val="15"/>
        </w:rPr>
        <w:t>by Coaloa</w:t>
      </w:r>
      <w:r w:rsidR="00CC476F">
        <w:rPr>
          <w:rFonts w:ascii="Calibri" w:hAnsi="Calibri"/>
          <w:color w:val="444444"/>
          <w:szCs w:val="15"/>
        </w:rPr>
        <w:t xml:space="preserve"> was rejected by this Commis</w:t>
      </w:r>
      <w:r>
        <w:rPr>
          <w:rFonts w:ascii="Calibri" w:hAnsi="Calibri"/>
          <w:color w:val="444444"/>
          <w:szCs w:val="15"/>
        </w:rPr>
        <w:t>sion despite the ZA’s insistence</w:t>
      </w:r>
      <w:r w:rsidR="00CC476F">
        <w:rPr>
          <w:rFonts w:ascii="Calibri" w:hAnsi="Calibri"/>
          <w:color w:val="444444"/>
          <w:szCs w:val="15"/>
        </w:rPr>
        <w:t xml:space="preserve"> that th</w:t>
      </w:r>
      <w:r>
        <w:rPr>
          <w:rFonts w:ascii="Calibri" w:hAnsi="Calibri"/>
          <w:color w:val="444444"/>
          <w:szCs w:val="15"/>
        </w:rPr>
        <w:t>e Guidelines were not “binding”</w:t>
      </w:r>
      <w:r w:rsidR="007D0722">
        <w:rPr>
          <w:rFonts w:ascii="Calibri" w:hAnsi="Calibri"/>
          <w:color w:val="444444"/>
          <w:szCs w:val="15"/>
        </w:rPr>
        <w:t>, because the ZA’s interpretation of both the Guidelines and the dual permit boundary were not clearly supported by any evidence other than hearsay</w:t>
      </w:r>
      <w:r>
        <w:rPr>
          <w:rFonts w:ascii="Calibri" w:hAnsi="Calibri"/>
          <w:color w:val="444444"/>
          <w:szCs w:val="15"/>
        </w:rPr>
        <w:t xml:space="preserve">. </w:t>
      </w:r>
      <w:r w:rsidR="007D0722">
        <w:rPr>
          <w:rFonts w:ascii="Calibri" w:hAnsi="Calibri"/>
          <w:color w:val="444444"/>
          <w:szCs w:val="15"/>
        </w:rPr>
        <w:t>The Commission felt that insufficient information was presented on sever</w:t>
      </w:r>
      <w:r w:rsidR="00620601">
        <w:rPr>
          <w:rFonts w:ascii="Calibri" w:hAnsi="Calibri"/>
          <w:color w:val="444444"/>
          <w:szCs w:val="15"/>
        </w:rPr>
        <w:t xml:space="preserve">al key issues and ruled that </w:t>
      </w:r>
      <w:proofErr w:type="gramStart"/>
      <w:r w:rsidR="00620601">
        <w:rPr>
          <w:rFonts w:ascii="Calibri" w:hAnsi="Calibri"/>
          <w:color w:val="444444"/>
          <w:szCs w:val="15"/>
        </w:rPr>
        <w:t>CE</w:t>
      </w:r>
      <w:r w:rsidR="007D0722">
        <w:rPr>
          <w:rFonts w:ascii="Calibri" w:hAnsi="Calibri"/>
          <w:color w:val="444444"/>
          <w:szCs w:val="15"/>
        </w:rPr>
        <w:t>QA compliance must be demonstrated by a Focused EIR or an EIR</w:t>
      </w:r>
      <w:proofErr w:type="gramEnd"/>
      <w:r w:rsidR="007D0722">
        <w:rPr>
          <w:rFonts w:ascii="Calibri" w:hAnsi="Calibri"/>
          <w:color w:val="444444"/>
          <w:szCs w:val="15"/>
        </w:rPr>
        <w:t>. (</w:t>
      </w:r>
      <w:proofErr w:type="gramStart"/>
      <w:r w:rsidR="007D0722">
        <w:rPr>
          <w:rFonts w:ascii="Calibri" w:hAnsi="Calibri"/>
          <w:color w:val="444444"/>
          <w:szCs w:val="15"/>
        </w:rPr>
        <w:t>see</w:t>
      </w:r>
      <w:proofErr w:type="gramEnd"/>
      <w:r w:rsidR="007D0722">
        <w:rPr>
          <w:rFonts w:ascii="Calibri" w:hAnsi="Calibri"/>
          <w:color w:val="444444"/>
          <w:szCs w:val="15"/>
        </w:rPr>
        <w:t xml:space="preserve">, </w:t>
      </w:r>
      <w:r w:rsidR="007D0722" w:rsidRPr="007D0722">
        <w:rPr>
          <w:rFonts w:ascii="Calibri" w:hAnsi="Calibri"/>
          <w:b/>
          <w:color w:val="444444"/>
          <w:szCs w:val="15"/>
        </w:rPr>
        <w:t xml:space="preserve">Exhibit B).  </w:t>
      </w:r>
      <w:r w:rsidRPr="007D0722">
        <w:rPr>
          <w:rFonts w:ascii="Calibri" w:hAnsi="Calibri"/>
          <w:b/>
          <w:color w:val="444444"/>
          <w:szCs w:val="15"/>
        </w:rPr>
        <w:t>T</w:t>
      </w:r>
      <w:r w:rsidR="00CC476F" w:rsidRPr="007D0722">
        <w:rPr>
          <w:rFonts w:ascii="Calibri" w:hAnsi="Calibri"/>
          <w:b/>
          <w:color w:val="444444"/>
          <w:szCs w:val="15"/>
        </w:rPr>
        <w:t xml:space="preserve">his Commission’s ruling was </w:t>
      </w:r>
      <w:r w:rsidR="007D0722">
        <w:rPr>
          <w:rFonts w:ascii="Calibri" w:hAnsi="Calibri"/>
          <w:b/>
          <w:color w:val="444444"/>
          <w:szCs w:val="15"/>
        </w:rPr>
        <w:t xml:space="preserve">fully supported and </w:t>
      </w:r>
      <w:r w:rsidR="00CC476F" w:rsidRPr="007D0722">
        <w:rPr>
          <w:rFonts w:ascii="Calibri" w:hAnsi="Calibri"/>
          <w:b/>
          <w:color w:val="444444"/>
          <w:szCs w:val="15"/>
        </w:rPr>
        <w:t>upheld by the State Commission.</w:t>
      </w:r>
      <w:r w:rsidR="00CC476F">
        <w:rPr>
          <w:rFonts w:ascii="Calibri" w:hAnsi="Calibri"/>
          <w:color w:val="444444"/>
          <w:szCs w:val="15"/>
        </w:rPr>
        <w:t xml:space="preserve"> </w:t>
      </w:r>
      <w:r>
        <w:rPr>
          <w:rFonts w:ascii="Calibri" w:hAnsi="Calibri"/>
          <w:color w:val="444444"/>
          <w:szCs w:val="15"/>
        </w:rPr>
        <w:t xml:space="preserve"> The Staff report providing the basis for the State</w:t>
      </w:r>
      <w:r w:rsidR="007D0722">
        <w:rPr>
          <w:rFonts w:ascii="Calibri" w:hAnsi="Calibri"/>
          <w:color w:val="444444"/>
          <w:szCs w:val="15"/>
        </w:rPr>
        <w:t xml:space="preserve"> Commission’s</w:t>
      </w:r>
      <w:r>
        <w:rPr>
          <w:rFonts w:ascii="Calibri" w:hAnsi="Calibri"/>
          <w:color w:val="444444"/>
          <w:szCs w:val="15"/>
        </w:rPr>
        <w:t xml:space="preserve"> ruling analyzes all “f</w:t>
      </w:r>
      <w:r w:rsidR="000F6BFF">
        <w:rPr>
          <w:rFonts w:ascii="Calibri" w:hAnsi="Calibri"/>
          <w:color w:val="444444"/>
          <w:szCs w:val="15"/>
        </w:rPr>
        <w:t>a</w:t>
      </w:r>
      <w:r>
        <w:rPr>
          <w:rFonts w:ascii="Calibri" w:hAnsi="Calibri"/>
          <w:color w:val="444444"/>
          <w:szCs w:val="15"/>
        </w:rPr>
        <w:t>ctors” involved in reaching a proper decision, one of which is t</w:t>
      </w:r>
      <w:r w:rsidR="000F6BFF">
        <w:rPr>
          <w:rFonts w:ascii="Calibri" w:hAnsi="Calibri"/>
          <w:color w:val="444444"/>
          <w:szCs w:val="15"/>
        </w:rPr>
        <w:t>he factor of whether the decision sets a bad or a good precedent. The report states:</w:t>
      </w:r>
    </w:p>
    <w:p w:rsidR="000F6BFF" w:rsidRDefault="000F6BFF" w:rsidP="000F6BFF">
      <w:pPr>
        <w:jc w:val="both"/>
        <w:rPr>
          <w:rFonts w:ascii="Calibri" w:hAnsi="Calibri"/>
          <w:color w:val="444444"/>
          <w:szCs w:val="15"/>
        </w:rPr>
      </w:pPr>
    </w:p>
    <w:p w:rsidR="000F6BFF" w:rsidRPr="000F6BFF" w:rsidRDefault="000F6BFF" w:rsidP="000F6BFF">
      <w:pPr>
        <w:ind w:left="576" w:right="720"/>
        <w:rPr>
          <w:rFonts w:ascii="Calibri" w:hAnsi="Calibri"/>
          <w:b/>
          <w:color w:val="444444"/>
          <w:szCs w:val="15"/>
        </w:rPr>
      </w:pPr>
      <w:r>
        <w:rPr>
          <w:rFonts w:ascii="Calibri" w:hAnsi="Calibri"/>
          <w:color w:val="444444"/>
          <w:szCs w:val="15"/>
        </w:rPr>
        <w:t xml:space="preserve"> The fourth factor is the precedential value of the local government’s decision for future interpretations of its LCP. Although the city has no certified LCP, this decision could nevertheless have a precedential impact on future decisions under this governing standard. </w:t>
      </w:r>
      <w:r w:rsidRPr="000F6BFF">
        <w:rPr>
          <w:rFonts w:ascii="Calibri" w:hAnsi="Calibri"/>
          <w:b/>
          <w:color w:val="444444"/>
          <w:szCs w:val="15"/>
        </w:rPr>
        <w:t xml:space="preserve">The City’s denial of the proposed </w:t>
      </w:r>
      <w:proofErr w:type="gramStart"/>
      <w:r w:rsidRPr="000F6BFF">
        <w:rPr>
          <w:rFonts w:ascii="Calibri" w:hAnsi="Calibri"/>
          <w:b/>
          <w:color w:val="444444"/>
          <w:szCs w:val="15"/>
        </w:rPr>
        <w:t>project  is</w:t>
      </w:r>
      <w:proofErr w:type="gramEnd"/>
      <w:r w:rsidRPr="000F6BFF">
        <w:rPr>
          <w:rFonts w:ascii="Calibri" w:hAnsi="Calibri"/>
          <w:b/>
          <w:color w:val="444444"/>
          <w:szCs w:val="15"/>
        </w:rPr>
        <w:t xml:space="preserve"> consistent with several precedents relating to location of the development to a coastal bluff and minimizing risks to life and property. Approval of the project with a lack of information addressing the concerns raised by the Planning Commission with regards to bluff setbacks and geologic hazards would be a bad precedent that would prejudice the ability of the City to prepare a local coastal program that is in conformity with Chapter 3 of the Coastal Act.</w:t>
      </w:r>
    </w:p>
    <w:p w:rsidR="00A72781" w:rsidRDefault="000F6BFF" w:rsidP="000F6BFF">
      <w:pPr>
        <w:ind w:left="576" w:right="720"/>
        <w:rPr>
          <w:rFonts w:ascii="Calibri" w:hAnsi="Calibri"/>
          <w:color w:val="444444"/>
          <w:szCs w:val="15"/>
        </w:rPr>
      </w:pPr>
      <w:r>
        <w:rPr>
          <w:rFonts w:ascii="Calibri" w:hAnsi="Calibri"/>
          <w:color w:val="444444"/>
          <w:szCs w:val="15"/>
        </w:rPr>
        <w:t xml:space="preserve"> (Coastal Commission Report, Coaloa Project, </w:t>
      </w:r>
      <w:r w:rsidRPr="000F6BFF">
        <w:rPr>
          <w:rFonts w:ascii="Calibri" w:hAnsi="Calibri"/>
          <w:b/>
          <w:color w:val="444444"/>
          <w:szCs w:val="15"/>
        </w:rPr>
        <w:t>Exhibit C</w:t>
      </w:r>
      <w:r>
        <w:rPr>
          <w:rFonts w:ascii="Calibri" w:hAnsi="Calibri"/>
          <w:color w:val="444444"/>
          <w:szCs w:val="15"/>
        </w:rPr>
        <w:t xml:space="preserve"> at page 9; emph. added)</w:t>
      </w:r>
    </w:p>
    <w:p w:rsidR="00584179" w:rsidRDefault="00584179" w:rsidP="000F6BFF">
      <w:pPr>
        <w:ind w:left="576" w:right="720"/>
        <w:rPr>
          <w:rFonts w:ascii="Calibri" w:hAnsi="Calibri"/>
          <w:color w:val="444444"/>
          <w:szCs w:val="15"/>
        </w:rPr>
      </w:pPr>
    </w:p>
    <w:p w:rsidR="0003055B" w:rsidRDefault="007D0722">
      <w:pPr>
        <w:rPr>
          <w:rFonts w:ascii="Calibri" w:hAnsi="Calibri"/>
          <w:color w:val="444444"/>
          <w:szCs w:val="15"/>
        </w:rPr>
      </w:pPr>
      <w:r>
        <w:rPr>
          <w:rFonts w:ascii="Calibri" w:hAnsi="Calibri"/>
          <w:color w:val="444444"/>
          <w:szCs w:val="15"/>
        </w:rPr>
        <w:t xml:space="preserve">   Just as in </w:t>
      </w:r>
      <w:r w:rsidRPr="007D0722">
        <w:rPr>
          <w:rFonts w:ascii="Calibri" w:hAnsi="Calibri"/>
          <w:b/>
          <w:color w:val="444444"/>
          <w:szCs w:val="15"/>
        </w:rPr>
        <w:t>Coaloa</w:t>
      </w:r>
      <w:r>
        <w:rPr>
          <w:rFonts w:ascii="Calibri" w:hAnsi="Calibri"/>
          <w:color w:val="444444"/>
          <w:szCs w:val="15"/>
        </w:rPr>
        <w:t xml:space="preserve">, the decision in the instant case could have a “precedential impact on future decisions”, setting the stage for other projects, with developers tearing down older buildings and </w:t>
      </w:r>
      <w:proofErr w:type="gramStart"/>
      <w:r>
        <w:rPr>
          <w:rFonts w:ascii="Calibri" w:hAnsi="Calibri"/>
          <w:color w:val="444444"/>
          <w:szCs w:val="15"/>
        </w:rPr>
        <w:t xml:space="preserve">demanding  </w:t>
      </w:r>
      <w:r w:rsidR="00620601">
        <w:rPr>
          <w:rFonts w:ascii="Calibri" w:hAnsi="Calibri"/>
          <w:b/>
          <w:color w:val="444444"/>
          <w:szCs w:val="15"/>
        </w:rPr>
        <w:t>double</w:t>
      </w:r>
      <w:proofErr w:type="gramEnd"/>
      <w:r w:rsidR="00620601">
        <w:rPr>
          <w:rFonts w:ascii="Calibri" w:hAnsi="Calibri"/>
          <w:b/>
          <w:color w:val="444444"/>
          <w:szCs w:val="15"/>
        </w:rPr>
        <w:t xml:space="preserve"> the</w:t>
      </w:r>
      <w:r w:rsidRPr="007D0722">
        <w:rPr>
          <w:rFonts w:ascii="Calibri" w:hAnsi="Calibri"/>
          <w:b/>
          <w:color w:val="444444"/>
          <w:szCs w:val="15"/>
        </w:rPr>
        <w:t xml:space="preserve"> density</w:t>
      </w:r>
      <w:r>
        <w:rPr>
          <w:rFonts w:ascii="Calibri" w:hAnsi="Calibri"/>
          <w:color w:val="444444"/>
          <w:szCs w:val="15"/>
        </w:rPr>
        <w:t xml:space="preserve"> called for in the Guidelines, and threatening to sue  this Commission and the City for “denial of equal protection” if the density is denied after it was granted in this “precedent”. This leads to </w:t>
      </w:r>
      <w:r w:rsidR="0030083B">
        <w:rPr>
          <w:rFonts w:ascii="Calibri" w:hAnsi="Calibri"/>
          <w:color w:val="444444"/>
          <w:szCs w:val="15"/>
        </w:rPr>
        <w:t>d</w:t>
      </w:r>
      <w:r>
        <w:rPr>
          <w:rFonts w:ascii="Calibri" w:hAnsi="Calibri"/>
          <w:color w:val="444444"/>
          <w:szCs w:val="15"/>
        </w:rPr>
        <w:t xml:space="preserve">isastrous results all along the bluffs.  </w:t>
      </w:r>
      <w:r w:rsidR="00CC476F">
        <w:rPr>
          <w:rFonts w:ascii="Calibri" w:hAnsi="Calibri"/>
          <w:color w:val="444444"/>
          <w:szCs w:val="15"/>
        </w:rPr>
        <w:t xml:space="preserve">Why, one must wonder, is the ZA </w:t>
      </w:r>
      <w:r>
        <w:rPr>
          <w:rFonts w:ascii="Calibri" w:hAnsi="Calibri"/>
          <w:color w:val="444444"/>
          <w:szCs w:val="15"/>
        </w:rPr>
        <w:t>(</w:t>
      </w:r>
      <w:r w:rsidR="00CC476F">
        <w:rPr>
          <w:rFonts w:ascii="Calibri" w:hAnsi="Calibri"/>
          <w:color w:val="444444"/>
          <w:szCs w:val="15"/>
        </w:rPr>
        <w:t>again</w:t>
      </w:r>
      <w:r>
        <w:rPr>
          <w:rFonts w:ascii="Calibri" w:hAnsi="Calibri"/>
          <w:color w:val="444444"/>
          <w:szCs w:val="15"/>
        </w:rPr>
        <w:t>)</w:t>
      </w:r>
      <w:r w:rsidR="00CC476F">
        <w:rPr>
          <w:rFonts w:ascii="Calibri" w:hAnsi="Calibri"/>
          <w:color w:val="444444"/>
          <w:szCs w:val="15"/>
        </w:rPr>
        <w:t xml:space="preserve"> giving the appearance of being an </w:t>
      </w:r>
      <w:r w:rsidR="00CC476F" w:rsidRPr="00584179">
        <w:rPr>
          <w:rFonts w:ascii="Calibri" w:hAnsi="Calibri"/>
          <w:i/>
          <w:color w:val="444444"/>
          <w:szCs w:val="15"/>
        </w:rPr>
        <w:t xml:space="preserve">advocate for the </w:t>
      </w:r>
      <w:r w:rsidR="00D300DC" w:rsidRPr="00584179">
        <w:rPr>
          <w:rFonts w:ascii="Calibri" w:hAnsi="Calibri"/>
          <w:i/>
          <w:color w:val="444444"/>
          <w:szCs w:val="15"/>
        </w:rPr>
        <w:t>developer</w:t>
      </w:r>
      <w:r w:rsidR="00D300DC">
        <w:rPr>
          <w:rFonts w:ascii="Calibri" w:hAnsi="Calibri"/>
          <w:color w:val="444444"/>
          <w:szCs w:val="15"/>
        </w:rPr>
        <w:t xml:space="preserve"> by</w:t>
      </w:r>
      <w:r>
        <w:rPr>
          <w:rFonts w:ascii="Calibri" w:hAnsi="Calibri"/>
          <w:color w:val="444444"/>
          <w:szCs w:val="15"/>
        </w:rPr>
        <w:t xml:space="preserve"> justifying the density on bogus grounds </w:t>
      </w:r>
      <w:r w:rsidR="00CC476F">
        <w:rPr>
          <w:rFonts w:ascii="Calibri" w:hAnsi="Calibri"/>
          <w:color w:val="444444"/>
          <w:szCs w:val="15"/>
        </w:rPr>
        <w:t>rather than simply following the Guidelines and the precedent set by the Coaloa decision?</w:t>
      </w:r>
      <w:r w:rsidR="00584179">
        <w:rPr>
          <w:rFonts w:ascii="Calibri" w:hAnsi="Calibri"/>
          <w:color w:val="444444"/>
          <w:szCs w:val="15"/>
        </w:rPr>
        <w:t xml:space="preserve"> If the Guidelines call for a maximum of 24 units, </w:t>
      </w:r>
      <w:r w:rsidR="00584179" w:rsidRPr="007D0722">
        <w:rPr>
          <w:rFonts w:ascii="Calibri" w:hAnsi="Calibri"/>
          <w:b/>
          <w:color w:val="444444"/>
          <w:szCs w:val="15"/>
        </w:rPr>
        <w:t>why are we even considering 49 units</w:t>
      </w:r>
      <w:r w:rsidR="00584179">
        <w:rPr>
          <w:rFonts w:ascii="Calibri" w:hAnsi="Calibri"/>
          <w:color w:val="444444"/>
          <w:szCs w:val="15"/>
        </w:rPr>
        <w:t xml:space="preserve"> at the site?</w:t>
      </w:r>
      <w:r w:rsidR="00A72781">
        <w:rPr>
          <w:rFonts w:ascii="Calibri" w:hAnsi="Calibri"/>
          <w:color w:val="444444"/>
          <w:szCs w:val="15"/>
        </w:rPr>
        <w:t xml:space="preserve"> Justifying twice as many units as allowed</w:t>
      </w:r>
      <w:r>
        <w:rPr>
          <w:rFonts w:ascii="Calibri" w:hAnsi="Calibri"/>
          <w:color w:val="444444"/>
          <w:szCs w:val="15"/>
        </w:rPr>
        <w:t xml:space="preserve">, </w:t>
      </w:r>
      <w:r w:rsidR="00D300DC">
        <w:rPr>
          <w:rFonts w:ascii="Calibri" w:hAnsi="Calibri"/>
          <w:color w:val="444444"/>
          <w:szCs w:val="15"/>
        </w:rPr>
        <w:t>simply by</w:t>
      </w:r>
      <w:r w:rsidR="00A72781">
        <w:rPr>
          <w:rFonts w:ascii="Calibri" w:hAnsi="Calibri"/>
          <w:color w:val="444444"/>
          <w:szCs w:val="15"/>
        </w:rPr>
        <w:t xml:space="preserve"> citing other buildings developed before passage of the Act</w:t>
      </w:r>
      <w:r>
        <w:rPr>
          <w:rFonts w:ascii="Calibri" w:hAnsi="Calibri"/>
          <w:color w:val="444444"/>
          <w:szCs w:val="15"/>
        </w:rPr>
        <w:t>,</w:t>
      </w:r>
      <w:r w:rsidR="00A72781">
        <w:rPr>
          <w:rFonts w:ascii="Calibri" w:hAnsi="Calibri"/>
          <w:color w:val="444444"/>
          <w:szCs w:val="15"/>
        </w:rPr>
        <w:t xml:space="preserve"> is completely unacceptable</w:t>
      </w:r>
      <w:r>
        <w:rPr>
          <w:rFonts w:ascii="Calibri" w:hAnsi="Calibri"/>
          <w:color w:val="444444"/>
          <w:szCs w:val="15"/>
        </w:rPr>
        <w:t xml:space="preserve"> to the citizenry that participated in getting the Coastal Act adopted 40 years ago</w:t>
      </w:r>
      <w:r w:rsidR="00A72781">
        <w:rPr>
          <w:rFonts w:ascii="Calibri" w:hAnsi="Calibri"/>
          <w:color w:val="444444"/>
          <w:szCs w:val="15"/>
        </w:rPr>
        <w:t xml:space="preserve">. </w:t>
      </w:r>
      <w:r w:rsidR="00584179">
        <w:rPr>
          <w:rFonts w:ascii="Calibri" w:hAnsi="Calibri"/>
          <w:color w:val="444444"/>
          <w:szCs w:val="15"/>
        </w:rPr>
        <w:t xml:space="preserve"> What is the justification</w:t>
      </w:r>
      <w:r w:rsidR="00F8545C">
        <w:rPr>
          <w:rFonts w:ascii="Calibri" w:hAnsi="Calibri"/>
          <w:color w:val="444444"/>
          <w:szCs w:val="15"/>
        </w:rPr>
        <w:t xml:space="preserve"> for departing from the Guidelines</w:t>
      </w:r>
      <w:r w:rsidR="00584179">
        <w:rPr>
          <w:rFonts w:ascii="Calibri" w:hAnsi="Calibri"/>
          <w:color w:val="444444"/>
          <w:szCs w:val="15"/>
        </w:rPr>
        <w:t xml:space="preserve">, other than </w:t>
      </w:r>
      <w:r w:rsidR="00F8545C">
        <w:rPr>
          <w:rFonts w:ascii="Calibri" w:hAnsi="Calibri"/>
          <w:color w:val="444444"/>
          <w:szCs w:val="15"/>
        </w:rPr>
        <w:t xml:space="preserve">recovering </w:t>
      </w:r>
      <w:r w:rsidR="00584179" w:rsidRPr="0003055B">
        <w:rPr>
          <w:rFonts w:ascii="Calibri" w:hAnsi="Calibri"/>
          <w:i/>
          <w:color w:val="444444"/>
          <w:szCs w:val="15"/>
        </w:rPr>
        <w:t>speculative profits</w:t>
      </w:r>
      <w:r w:rsidR="00584179">
        <w:rPr>
          <w:rFonts w:ascii="Calibri" w:hAnsi="Calibri"/>
          <w:color w:val="444444"/>
          <w:szCs w:val="15"/>
        </w:rPr>
        <w:t xml:space="preserve"> by a developer </w:t>
      </w:r>
      <w:r w:rsidR="00A72781">
        <w:rPr>
          <w:rFonts w:ascii="Calibri" w:hAnsi="Calibri"/>
          <w:color w:val="444444"/>
          <w:szCs w:val="15"/>
        </w:rPr>
        <w:t xml:space="preserve">that will take away ocean views </w:t>
      </w:r>
      <w:r w:rsidR="0003055B">
        <w:rPr>
          <w:rFonts w:ascii="Calibri" w:hAnsi="Calibri"/>
          <w:color w:val="444444"/>
          <w:szCs w:val="15"/>
        </w:rPr>
        <w:t>on an otherwise unstable and undevelopable</w:t>
      </w:r>
      <w:r w:rsidR="00584179">
        <w:rPr>
          <w:rFonts w:ascii="Calibri" w:hAnsi="Calibri"/>
          <w:color w:val="444444"/>
          <w:szCs w:val="15"/>
        </w:rPr>
        <w:t xml:space="preserve"> piece of trash-fill property that has been passed</w:t>
      </w:r>
      <w:r w:rsidR="0003055B">
        <w:rPr>
          <w:rFonts w:ascii="Calibri" w:hAnsi="Calibri"/>
          <w:color w:val="444444"/>
          <w:szCs w:val="15"/>
        </w:rPr>
        <w:t xml:space="preserve"> over by other more prudent developers over the years</w:t>
      </w:r>
      <w:r w:rsidR="00584179">
        <w:rPr>
          <w:rFonts w:ascii="Calibri" w:hAnsi="Calibri"/>
          <w:color w:val="444444"/>
          <w:szCs w:val="15"/>
        </w:rPr>
        <w:t xml:space="preserve">? </w:t>
      </w:r>
      <w:r w:rsidR="00CC476F">
        <w:rPr>
          <w:rFonts w:ascii="Calibri" w:hAnsi="Calibri"/>
          <w:color w:val="444444"/>
          <w:szCs w:val="15"/>
        </w:rPr>
        <w:t xml:space="preserve"> The failure to prepare an EIR</w:t>
      </w:r>
      <w:r w:rsidR="00A72781">
        <w:rPr>
          <w:rFonts w:ascii="Calibri" w:hAnsi="Calibri"/>
          <w:color w:val="444444"/>
          <w:szCs w:val="15"/>
        </w:rPr>
        <w:t xml:space="preserve"> which fully analyzes the geologic issues, traffic issues, l</w:t>
      </w:r>
      <w:r w:rsidR="0003055B">
        <w:rPr>
          <w:rFonts w:ascii="Calibri" w:hAnsi="Calibri"/>
          <w:color w:val="444444"/>
          <w:szCs w:val="15"/>
        </w:rPr>
        <w:t xml:space="preserve">iquefaction, methane exposure, </w:t>
      </w:r>
      <w:r w:rsidR="00A72781">
        <w:rPr>
          <w:rFonts w:ascii="Calibri" w:hAnsi="Calibri"/>
          <w:color w:val="444444"/>
          <w:szCs w:val="15"/>
        </w:rPr>
        <w:t>landslide and earthquake issues</w:t>
      </w:r>
      <w:r w:rsidR="0003055B">
        <w:rPr>
          <w:rFonts w:ascii="Calibri" w:hAnsi="Calibri"/>
          <w:color w:val="444444"/>
          <w:szCs w:val="15"/>
        </w:rPr>
        <w:t xml:space="preserve">, as well as </w:t>
      </w:r>
      <w:r w:rsidR="00F8545C">
        <w:rPr>
          <w:rFonts w:ascii="Calibri" w:hAnsi="Calibri"/>
          <w:color w:val="444444"/>
          <w:szCs w:val="15"/>
        </w:rPr>
        <w:t>potential view</w:t>
      </w:r>
      <w:r w:rsidR="00A72781">
        <w:rPr>
          <w:rFonts w:ascii="Calibri" w:hAnsi="Calibri"/>
          <w:color w:val="444444"/>
          <w:szCs w:val="15"/>
        </w:rPr>
        <w:t xml:space="preserve"> shed impairment</w:t>
      </w:r>
      <w:r w:rsidR="0003055B">
        <w:rPr>
          <w:rFonts w:ascii="Calibri" w:hAnsi="Calibri"/>
          <w:color w:val="444444"/>
          <w:szCs w:val="15"/>
        </w:rPr>
        <w:t>,</w:t>
      </w:r>
      <w:r w:rsidR="00CC476F">
        <w:rPr>
          <w:rFonts w:ascii="Calibri" w:hAnsi="Calibri"/>
          <w:color w:val="444444"/>
          <w:szCs w:val="15"/>
        </w:rPr>
        <w:t xml:space="preserve"> has the result of providing </w:t>
      </w:r>
      <w:r w:rsidR="00CC476F" w:rsidRPr="00A72781">
        <w:rPr>
          <w:rFonts w:ascii="Calibri" w:hAnsi="Calibri"/>
          <w:i/>
          <w:color w:val="444444"/>
          <w:szCs w:val="15"/>
        </w:rPr>
        <w:t>no analysis of alternatives</w:t>
      </w:r>
      <w:r w:rsidR="00CC476F">
        <w:rPr>
          <w:rFonts w:ascii="Calibri" w:hAnsi="Calibri"/>
          <w:color w:val="444444"/>
          <w:szCs w:val="15"/>
        </w:rPr>
        <w:t xml:space="preserve"> to the 49-unit proposal. Merely saying it is </w:t>
      </w:r>
      <w:r w:rsidR="006F346E">
        <w:rPr>
          <w:rFonts w:ascii="Calibri" w:hAnsi="Calibri"/>
          <w:color w:val="444444"/>
          <w:szCs w:val="15"/>
        </w:rPr>
        <w:t>somehow</w:t>
      </w:r>
      <w:r w:rsidR="0003055B">
        <w:rPr>
          <w:rFonts w:ascii="Calibri" w:hAnsi="Calibri"/>
          <w:color w:val="444444"/>
          <w:szCs w:val="15"/>
        </w:rPr>
        <w:t xml:space="preserve">, </w:t>
      </w:r>
      <w:proofErr w:type="gramStart"/>
      <w:r w:rsidR="0003055B">
        <w:rPr>
          <w:rFonts w:ascii="Calibri" w:hAnsi="Calibri"/>
          <w:color w:val="444444"/>
          <w:szCs w:val="15"/>
        </w:rPr>
        <w:t>improbably,</w:t>
      </w:r>
      <w:proofErr w:type="gramEnd"/>
      <w:r w:rsidR="0003055B">
        <w:rPr>
          <w:rFonts w:ascii="Calibri" w:hAnsi="Calibri"/>
          <w:color w:val="444444"/>
          <w:szCs w:val="15"/>
        </w:rPr>
        <w:t xml:space="preserve"> </w:t>
      </w:r>
      <w:r w:rsidR="006F346E">
        <w:rPr>
          <w:rFonts w:ascii="Calibri" w:hAnsi="Calibri"/>
          <w:color w:val="444444"/>
          <w:szCs w:val="15"/>
        </w:rPr>
        <w:t xml:space="preserve">not </w:t>
      </w:r>
      <w:r w:rsidR="0003055B">
        <w:rPr>
          <w:rFonts w:ascii="Calibri" w:hAnsi="Calibri"/>
          <w:color w:val="444444"/>
          <w:szCs w:val="15"/>
        </w:rPr>
        <w:t xml:space="preserve">going to be </w:t>
      </w:r>
      <w:r w:rsidR="006F346E">
        <w:rPr>
          <w:rFonts w:ascii="Calibri" w:hAnsi="Calibri"/>
          <w:color w:val="444444"/>
          <w:szCs w:val="15"/>
        </w:rPr>
        <w:t>visible</w:t>
      </w:r>
      <w:r w:rsidR="0003055B">
        <w:rPr>
          <w:rFonts w:ascii="Calibri" w:hAnsi="Calibri"/>
          <w:color w:val="444444"/>
          <w:szCs w:val="15"/>
        </w:rPr>
        <w:t xml:space="preserve"> or obstruct views to and along the coast</w:t>
      </w:r>
      <w:r w:rsidR="006F346E">
        <w:rPr>
          <w:rFonts w:ascii="Calibri" w:hAnsi="Calibri"/>
          <w:color w:val="444444"/>
          <w:szCs w:val="15"/>
        </w:rPr>
        <w:t xml:space="preserve"> is wholly inadequate as a rationale for approval.</w:t>
      </w:r>
    </w:p>
    <w:p w:rsidR="00BD4E71" w:rsidRDefault="00BD4E71">
      <w:pPr>
        <w:rPr>
          <w:rFonts w:ascii="Calibri" w:hAnsi="Calibri"/>
          <w:color w:val="444444"/>
          <w:szCs w:val="15"/>
        </w:rPr>
      </w:pPr>
    </w:p>
    <w:p w:rsidR="007C7CB5" w:rsidRDefault="00CA0F15">
      <w:pPr>
        <w:rPr>
          <w:rFonts w:ascii="Calibri" w:hAnsi="Calibri"/>
          <w:color w:val="444444"/>
          <w:szCs w:val="15"/>
        </w:rPr>
      </w:pPr>
      <w:r>
        <w:rPr>
          <w:rFonts w:ascii="Calibri" w:hAnsi="Calibri"/>
          <w:b/>
          <w:color w:val="444444"/>
          <w:szCs w:val="15"/>
        </w:rPr>
        <w:t xml:space="preserve">    </w:t>
      </w:r>
      <w:r w:rsidR="00620601">
        <w:rPr>
          <w:rFonts w:ascii="Calibri" w:hAnsi="Calibri"/>
          <w:b/>
          <w:color w:val="444444"/>
          <w:szCs w:val="15"/>
        </w:rPr>
        <w:t xml:space="preserve">ZA’s </w:t>
      </w:r>
      <w:r w:rsidR="0003055B" w:rsidRPr="0003055B">
        <w:rPr>
          <w:rFonts w:ascii="Calibri" w:hAnsi="Calibri"/>
          <w:b/>
          <w:color w:val="444444"/>
          <w:szCs w:val="15"/>
        </w:rPr>
        <w:t xml:space="preserve">Reversal of Second-Story </w:t>
      </w:r>
      <w:r w:rsidR="00620601">
        <w:rPr>
          <w:rFonts w:ascii="Calibri" w:hAnsi="Calibri"/>
          <w:b/>
          <w:color w:val="444444"/>
          <w:szCs w:val="15"/>
        </w:rPr>
        <w:t>“</w:t>
      </w:r>
      <w:r w:rsidR="0003055B" w:rsidRPr="0003055B">
        <w:rPr>
          <w:rFonts w:ascii="Calibri" w:hAnsi="Calibri"/>
          <w:b/>
          <w:color w:val="444444"/>
          <w:szCs w:val="15"/>
        </w:rPr>
        <w:t>Q Condition</w:t>
      </w:r>
      <w:r w:rsidR="00620601">
        <w:rPr>
          <w:rFonts w:ascii="Calibri" w:hAnsi="Calibri"/>
          <w:b/>
          <w:color w:val="444444"/>
          <w:szCs w:val="15"/>
        </w:rPr>
        <w:t>”</w:t>
      </w:r>
      <w:r w:rsidR="0003055B" w:rsidRPr="0003055B">
        <w:rPr>
          <w:rFonts w:ascii="Calibri" w:hAnsi="Calibri"/>
          <w:b/>
          <w:color w:val="444444"/>
          <w:szCs w:val="15"/>
        </w:rPr>
        <w:t xml:space="preserve"> Interpretation is Inexplicable.</w:t>
      </w:r>
      <w:r w:rsidR="0003055B">
        <w:rPr>
          <w:rFonts w:ascii="Calibri" w:hAnsi="Calibri"/>
          <w:color w:val="444444"/>
          <w:szCs w:val="15"/>
        </w:rPr>
        <w:t xml:space="preserve"> </w:t>
      </w:r>
      <w:r w:rsidR="007C7CB5">
        <w:rPr>
          <w:rFonts w:ascii="Calibri" w:hAnsi="Calibri"/>
          <w:color w:val="444444"/>
          <w:szCs w:val="15"/>
        </w:rPr>
        <w:t>The ZA inexplicably reversed himself regarding the requiremen</w:t>
      </w:r>
      <w:r w:rsidR="0003055B">
        <w:rPr>
          <w:rFonts w:ascii="Calibri" w:hAnsi="Calibri"/>
          <w:color w:val="444444"/>
          <w:szCs w:val="15"/>
        </w:rPr>
        <w:t xml:space="preserve">t </w:t>
      </w:r>
      <w:r w:rsidR="007C7CB5">
        <w:rPr>
          <w:rFonts w:ascii="Calibri" w:hAnsi="Calibri"/>
          <w:color w:val="444444"/>
          <w:szCs w:val="15"/>
        </w:rPr>
        <w:t>for setback of the second story. The applicant</w:t>
      </w:r>
      <w:r w:rsidR="00620601">
        <w:rPr>
          <w:rFonts w:ascii="Calibri" w:hAnsi="Calibri"/>
          <w:color w:val="444444"/>
          <w:szCs w:val="15"/>
        </w:rPr>
        <w:t xml:space="preserve"> </w:t>
      </w:r>
      <w:r w:rsidR="00F8545C">
        <w:rPr>
          <w:rFonts w:ascii="Calibri" w:hAnsi="Calibri"/>
          <w:color w:val="444444"/>
          <w:szCs w:val="15"/>
        </w:rPr>
        <w:t>and the</w:t>
      </w:r>
      <w:r w:rsidR="00620601">
        <w:rPr>
          <w:rFonts w:ascii="Calibri" w:hAnsi="Calibri"/>
          <w:color w:val="444444"/>
          <w:szCs w:val="15"/>
        </w:rPr>
        <w:t xml:space="preserve"> ZA</w:t>
      </w:r>
      <w:r w:rsidR="0003055B">
        <w:rPr>
          <w:rFonts w:ascii="Calibri" w:hAnsi="Calibri"/>
          <w:color w:val="444444"/>
          <w:szCs w:val="15"/>
        </w:rPr>
        <w:t xml:space="preserve"> </w:t>
      </w:r>
      <w:r w:rsidR="00F8545C">
        <w:rPr>
          <w:rFonts w:ascii="Calibri" w:hAnsi="Calibri"/>
          <w:color w:val="444444"/>
          <w:szCs w:val="15"/>
        </w:rPr>
        <w:t>both acknowledged</w:t>
      </w:r>
      <w:r w:rsidR="007C7CB5">
        <w:rPr>
          <w:rFonts w:ascii="Calibri" w:hAnsi="Calibri"/>
          <w:color w:val="444444"/>
          <w:szCs w:val="15"/>
        </w:rPr>
        <w:t xml:space="preserve"> at the </w:t>
      </w:r>
      <w:r w:rsidR="00620601">
        <w:rPr>
          <w:rFonts w:ascii="Calibri" w:hAnsi="Calibri"/>
          <w:color w:val="444444"/>
          <w:szCs w:val="15"/>
        </w:rPr>
        <w:t>July 18</w:t>
      </w:r>
      <w:r w:rsidR="00620601" w:rsidRPr="00620601">
        <w:rPr>
          <w:rFonts w:ascii="Calibri" w:hAnsi="Calibri"/>
          <w:color w:val="444444"/>
          <w:szCs w:val="15"/>
          <w:vertAlign w:val="superscript"/>
        </w:rPr>
        <w:t>th</w:t>
      </w:r>
      <w:r w:rsidR="00620601">
        <w:rPr>
          <w:rFonts w:ascii="Calibri" w:hAnsi="Calibri"/>
          <w:color w:val="444444"/>
          <w:szCs w:val="15"/>
        </w:rPr>
        <w:t xml:space="preserve"> </w:t>
      </w:r>
      <w:r w:rsidR="007C7CB5">
        <w:rPr>
          <w:rFonts w:ascii="Calibri" w:hAnsi="Calibri"/>
          <w:color w:val="444444"/>
          <w:szCs w:val="15"/>
        </w:rPr>
        <w:t>public hearing that the proposed structure is within 50 feet of the adjace</w:t>
      </w:r>
      <w:r w:rsidR="00620601">
        <w:rPr>
          <w:rFonts w:ascii="Calibri" w:hAnsi="Calibri"/>
          <w:color w:val="444444"/>
          <w:szCs w:val="15"/>
        </w:rPr>
        <w:t xml:space="preserve">nt RE40 lot, and </w:t>
      </w:r>
      <w:proofErr w:type="gramStart"/>
      <w:r w:rsidR="00620601">
        <w:rPr>
          <w:rFonts w:ascii="Calibri" w:hAnsi="Calibri"/>
          <w:color w:val="444444"/>
          <w:szCs w:val="15"/>
        </w:rPr>
        <w:t>consequently  t</w:t>
      </w:r>
      <w:r w:rsidR="0003055B">
        <w:rPr>
          <w:rFonts w:ascii="Calibri" w:hAnsi="Calibri"/>
          <w:color w:val="444444"/>
          <w:szCs w:val="15"/>
        </w:rPr>
        <w:t>he</w:t>
      </w:r>
      <w:proofErr w:type="gramEnd"/>
      <w:r w:rsidR="0003055B">
        <w:rPr>
          <w:rFonts w:ascii="Calibri" w:hAnsi="Calibri"/>
          <w:color w:val="444444"/>
          <w:szCs w:val="15"/>
        </w:rPr>
        <w:t xml:space="preserve"> </w:t>
      </w:r>
      <w:r w:rsidR="00620601">
        <w:rPr>
          <w:rFonts w:ascii="Calibri" w:hAnsi="Calibri"/>
          <w:color w:val="444444"/>
          <w:szCs w:val="15"/>
        </w:rPr>
        <w:t xml:space="preserve">following </w:t>
      </w:r>
      <w:r w:rsidR="0003055B">
        <w:rPr>
          <w:rFonts w:ascii="Calibri" w:hAnsi="Calibri"/>
          <w:color w:val="444444"/>
          <w:szCs w:val="15"/>
        </w:rPr>
        <w:t xml:space="preserve">Q-condition </w:t>
      </w:r>
      <w:r w:rsidR="00620601">
        <w:rPr>
          <w:rFonts w:ascii="Calibri" w:hAnsi="Calibri"/>
          <w:color w:val="444444"/>
          <w:szCs w:val="15"/>
        </w:rPr>
        <w:t xml:space="preserve">is </w:t>
      </w:r>
      <w:r w:rsidR="0003055B">
        <w:rPr>
          <w:rFonts w:ascii="Calibri" w:hAnsi="Calibri"/>
          <w:color w:val="444444"/>
          <w:szCs w:val="15"/>
        </w:rPr>
        <w:t xml:space="preserve">applicable to </w:t>
      </w:r>
      <w:r w:rsidR="007C7CB5">
        <w:rPr>
          <w:rFonts w:ascii="Calibri" w:hAnsi="Calibri"/>
          <w:color w:val="444444"/>
          <w:szCs w:val="15"/>
        </w:rPr>
        <w:t xml:space="preserve"> the app</w:t>
      </w:r>
      <w:r w:rsidR="00620601">
        <w:rPr>
          <w:rFonts w:ascii="Calibri" w:hAnsi="Calibri"/>
          <w:color w:val="444444"/>
          <w:szCs w:val="15"/>
        </w:rPr>
        <w:t>licant’s lot</w:t>
      </w:r>
      <w:r w:rsidR="007C7CB5">
        <w:rPr>
          <w:rFonts w:ascii="Calibri" w:hAnsi="Calibri"/>
          <w:color w:val="444444"/>
          <w:szCs w:val="15"/>
        </w:rPr>
        <w:t>:</w:t>
      </w:r>
    </w:p>
    <w:p w:rsidR="007C7CB5" w:rsidRDefault="007C7CB5">
      <w:pPr>
        <w:rPr>
          <w:rFonts w:ascii="Calibri" w:hAnsi="Calibri"/>
          <w:color w:val="444444"/>
          <w:szCs w:val="15"/>
        </w:rPr>
      </w:pPr>
    </w:p>
    <w:p w:rsidR="0003055B" w:rsidRDefault="007C7CB5" w:rsidP="007C7CB5">
      <w:pPr>
        <w:ind w:left="504" w:right="504"/>
        <w:rPr>
          <w:rFonts w:ascii="Calibri" w:hAnsi="Calibri"/>
          <w:color w:val="444444"/>
          <w:szCs w:val="15"/>
        </w:rPr>
      </w:pPr>
      <w:r>
        <w:rPr>
          <w:rFonts w:ascii="Calibri" w:hAnsi="Calibri"/>
          <w:color w:val="444444"/>
          <w:szCs w:val="15"/>
        </w:rPr>
        <w:t xml:space="preserve">  For </w:t>
      </w:r>
      <w:r w:rsidRPr="0003055B">
        <w:rPr>
          <w:rFonts w:ascii="Calibri" w:hAnsi="Calibri"/>
          <w:b/>
          <w:color w:val="444444"/>
          <w:szCs w:val="15"/>
        </w:rPr>
        <w:t>any building or structure</w:t>
      </w:r>
      <w:r>
        <w:rPr>
          <w:rFonts w:ascii="Calibri" w:hAnsi="Calibri"/>
          <w:color w:val="444444"/>
          <w:szCs w:val="15"/>
        </w:rPr>
        <w:t xml:space="preserve"> which is within 50 feet of a lot zoned R1 or more restrictive, </w:t>
      </w:r>
      <w:r w:rsidRPr="0003055B">
        <w:rPr>
          <w:rFonts w:ascii="Calibri" w:hAnsi="Calibri"/>
          <w:b/>
          <w:color w:val="444444"/>
          <w:szCs w:val="15"/>
        </w:rPr>
        <w:t>the exterior wall of any second story</w:t>
      </w:r>
      <w:r>
        <w:rPr>
          <w:rFonts w:ascii="Calibri" w:hAnsi="Calibri"/>
          <w:color w:val="444444"/>
          <w:szCs w:val="15"/>
        </w:rPr>
        <w:t xml:space="preserve"> shall be set back 10 feet horizontally from the exterior wall of the first story facing the lot zoned R1 or more restrictive.</w:t>
      </w:r>
    </w:p>
    <w:p w:rsidR="007C7CB5" w:rsidRDefault="0003055B" w:rsidP="007C7CB5">
      <w:pPr>
        <w:ind w:left="504" w:right="504"/>
        <w:rPr>
          <w:rFonts w:ascii="Calibri" w:hAnsi="Calibri"/>
          <w:color w:val="444444"/>
          <w:szCs w:val="15"/>
        </w:rPr>
      </w:pPr>
      <w:r>
        <w:rPr>
          <w:rFonts w:ascii="Calibri" w:hAnsi="Calibri"/>
          <w:color w:val="444444"/>
          <w:szCs w:val="15"/>
        </w:rPr>
        <w:t>(Emph. Added)</w:t>
      </w:r>
    </w:p>
    <w:p w:rsidR="007C7CB5" w:rsidRDefault="007C7CB5">
      <w:pPr>
        <w:rPr>
          <w:rFonts w:ascii="Calibri" w:hAnsi="Calibri"/>
          <w:color w:val="444444"/>
          <w:szCs w:val="15"/>
        </w:rPr>
      </w:pPr>
    </w:p>
    <w:p w:rsidR="00291D0E" w:rsidRDefault="00CA0F15">
      <w:pPr>
        <w:rPr>
          <w:rFonts w:ascii="Calibri" w:hAnsi="Calibri"/>
          <w:color w:val="444444"/>
          <w:szCs w:val="15"/>
        </w:rPr>
      </w:pPr>
      <w:r>
        <w:rPr>
          <w:rFonts w:ascii="Calibri" w:hAnsi="Calibri"/>
          <w:color w:val="444444"/>
          <w:szCs w:val="15"/>
        </w:rPr>
        <w:t xml:space="preserve">   </w:t>
      </w:r>
      <w:r w:rsidR="007C7CB5">
        <w:rPr>
          <w:rFonts w:ascii="Calibri" w:hAnsi="Calibri"/>
          <w:color w:val="444444"/>
          <w:szCs w:val="15"/>
        </w:rPr>
        <w:t xml:space="preserve">The ZA stated at the hearing </w:t>
      </w:r>
      <w:r w:rsidR="0003055B">
        <w:rPr>
          <w:rFonts w:ascii="Calibri" w:hAnsi="Calibri"/>
          <w:color w:val="444444"/>
          <w:szCs w:val="15"/>
        </w:rPr>
        <w:t xml:space="preserve">that </w:t>
      </w:r>
      <w:r w:rsidR="007C7CB5">
        <w:rPr>
          <w:rFonts w:ascii="Calibri" w:hAnsi="Calibri"/>
          <w:color w:val="444444"/>
          <w:szCs w:val="15"/>
        </w:rPr>
        <w:t>the project did not comply with this condition, yet the Letter of Determination claims the restriction only applies to a “portion” of the structure.</w:t>
      </w:r>
      <w:r w:rsidR="007B61C5">
        <w:rPr>
          <w:rFonts w:ascii="Calibri" w:hAnsi="Calibri"/>
          <w:color w:val="444444"/>
          <w:szCs w:val="15"/>
        </w:rPr>
        <w:t xml:space="preserve"> The wording about “any portion”, however, </w:t>
      </w:r>
      <w:r w:rsidR="0003055B">
        <w:rPr>
          <w:rFonts w:ascii="Calibri" w:hAnsi="Calibri"/>
          <w:color w:val="444444"/>
          <w:szCs w:val="15"/>
        </w:rPr>
        <w:t xml:space="preserve">does not appear in this condition. It </w:t>
      </w:r>
      <w:r w:rsidR="007B61C5">
        <w:rPr>
          <w:rFonts w:ascii="Calibri" w:hAnsi="Calibri"/>
          <w:color w:val="444444"/>
          <w:szCs w:val="15"/>
        </w:rPr>
        <w:t xml:space="preserve">is taken </w:t>
      </w:r>
      <w:r w:rsidR="00620601">
        <w:rPr>
          <w:rFonts w:ascii="Calibri" w:hAnsi="Calibri"/>
          <w:color w:val="444444"/>
          <w:szCs w:val="15"/>
        </w:rPr>
        <w:t>from different</w:t>
      </w:r>
      <w:r w:rsidR="007B61C5">
        <w:rPr>
          <w:rFonts w:ascii="Calibri" w:hAnsi="Calibri"/>
          <w:color w:val="444444"/>
          <w:szCs w:val="15"/>
        </w:rPr>
        <w:t xml:space="preserve"> Q conditions applicable to </w:t>
      </w:r>
      <w:r w:rsidR="007B61C5" w:rsidRPr="0003055B">
        <w:rPr>
          <w:rFonts w:ascii="Calibri" w:hAnsi="Calibri"/>
          <w:i/>
          <w:color w:val="444444"/>
          <w:szCs w:val="15"/>
        </w:rPr>
        <w:t>height and side yard restriction</w:t>
      </w:r>
      <w:r w:rsidR="0003055B" w:rsidRPr="0003055B">
        <w:rPr>
          <w:rFonts w:ascii="Calibri" w:hAnsi="Calibri"/>
          <w:i/>
          <w:color w:val="444444"/>
          <w:szCs w:val="15"/>
        </w:rPr>
        <w:t>s</w:t>
      </w:r>
      <w:r w:rsidR="007B61C5">
        <w:rPr>
          <w:rFonts w:ascii="Calibri" w:hAnsi="Calibri"/>
          <w:color w:val="444444"/>
          <w:szCs w:val="15"/>
        </w:rPr>
        <w:t>, and does not appear in the condition quoted above regarding th</w:t>
      </w:r>
      <w:r w:rsidR="00291D0E">
        <w:rPr>
          <w:rFonts w:ascii="Calibri" w:hAnsi="Calibri"/>
          <w:color w:val="444444"/>
          <w:szCs w:val="15"/>
        </w:rPr>
        <w:t xml:space="preserve">e </w:t>
      </w:r>
      <w:r w:rsidR="00291D0E" w:rsidRPr="0003055B">
        <w:rPr>
          <w:rFonts w:ascii="Calibri" w:hAnsi="Calibri"/>
          <w:i/>
          <w:color w:val="444444"/>
          <w:szCs w:val="15"/>
        </w:rPr>
        <w:t>setback of the second story</w:t>
      </w:r>
      <w:r w:rsidR="0003055B">
        <w:rPr>
          <w:rFonts w:ascii="Calibri" w:hAnsi="Calibri"/>
          <w:color w:val="444444"/>
          <w:szCs w:val="15"/>
        </w:rPr>
        <w:t>. Applying standard rules of statutory construction, under this condition</w:t>
      </w:r>
      <w:r w:rsidR="007B61C5">
        <w:rPr>
          <w:rFonts w:ascii="Calibri" w:hAnsi="Calibri"/>
          <w:color w:val="444444"/>
          <w:szCs w:val="15"/>
        </w:rPr>
        <w:t xml:space="preserve"> it is explicitly clear that the entire second story wall must observe the </w:t>
      </w:r>
      <w:proofErr w:type="gramStart"/>
      <w:r w:rsidR="007B61C5">
        <w:rPr>
          <w:rFonts w:ascii="Calibri" w:hAnsi="Calibri"/>
          <w:color w:val="444444"/>
          <w:szCs w:val="15"/>
        </w:rPr>
        <w:t>set-back</w:t>
      </w:r>
      <w:proofErr w:type="gramEnd"/>
      <w:r w:rsidR="007B61C5">
        <w:rPr>
          <w:rFonts w:ascii="Calibri" w:hAnsi="Calibri"/>
          <w:color w:val="444444"/>
          <w:szCs w:val="15"/>
        </w:rPr>
        <w:t>.</w:t>
      </w:r>
      <w:r w:rsidR="007C7CB5">
        <w:rPr>
          <w:rFonts w:ascii="Calibri" w:hAnsi="Calibri"/>
          <w:color w:val="444444"/>
          <w:szCs w:val="15"/>
        </w:rPr>
        <w:t xml:space="preserve"> </w:t>
      </w:r>
      <w:r w:rsidR="00291D0E">
        <w:rPr>
          <w:rFonts w:ascii="Calibri" w:hAnsi="Calibri"/>
          <w:color w:val="444444"/>
          <w:szCs w:val="15"/>
        </w:rPr>
        <w:t>Nothing in</w:t>
      </w:r>
      <w:r w:rsidR="007C7CB5">
        <w:rPr>
          <w:rFonts w:ascii="Calibri" w:hAnsi="Calibri"/>
          <w:color w:val="444444"/>
          <w:szCs w:val="15"/>
        </w:rPr>
        <w:t xml:space="preserve"> the lan</w:t>
      </w:r>
      <w:r w:rsidR="007B61C5">
        <w:rPr>
          <w:rFonts w:ascii="Calibri" w:hAnsi="Calibri"/>
          <w:color w:val="444444"/>
          <w:szCs w:val="15"/>
        </w:rPr>
        <w:t xml:space="preserve">guage quoted above supports the ZA’s </w:t>
      </w:r>
      <w:r w:rsidR="007C7CB5">
        <w:rPr>
          <w:rFonts w:ascii="Calibri" w:hAnsi="Calibri"/>
          <w:color w:val="444444"/>
          <w:szCs w:val="15"/>
        </w:rPr>
        <w:t xml:space="preserve"> “interpret</w:t>
      </w:r>
      <w:r w:rsidR="007B61C5">
        <w:rPr>
          <w:rFonts w:ascii="Calibri" w:hAnsi="Calibri"/>
          <w:color w:val="444444"/>
          <w:szCs w:val="15"/>
        </w:rPr>
        <w:t>a</w:t>
      </w:r>
      <w:r w:rsidR="007C7CB5">
        <w:rPr>
          <w:rFonts w:ascii="Calibri" w:hAnsi="Calibri"/>
          <w:color w:val="444444"/>
          <w:szCs w:val="15"/>
        </w:rPr>
        <w:t xml:space="preserve">tion”, and it is legally incorrect. Why did the ZA change his mind on this simple quantifiable restriction? </w:t>
      </w:r>
      <w:r w:rsidR="0003055B">
        <w:rPr>
          <w:rFonts w:ascii="Calibri" w:hAnsi="Calibri"/>
          <w:color w:val="444444"/>
          <w:szCs w:val="15"/>
        </w:rPr>
        <w:t>This is clear reversible legal error.</w:t>
      </w:r>
    </w:p>
    <w:p w:rsidR="007B61C5" w:rsidRDefault="007B61C5">
      <w:pPr>
        <w:rPr>
          <w:rFonts w:ascii="Calibri" w:hAnsi="Calibri"/>
          <w:color w:val="444444"/>
          <w:szCs w:val="15"/>
        </w:rPr>
      </w:pPr>
    </w:p>
    <w:p w:rsidR="00762DB9" w:rsidRDefault="00CA0F15">
      <w:pPr>
        <w:rPr>
          <w:rFonts w:ascii="Calibri" w:hAnsi="Calibri"/>
          <w:color w:val="444444"/>
          <w:szCs w:val="15"/>
        </w:rPr>
      </w:pPr>
      <w:r>
        <w:rPr>
          <w:rFonts w:ascii="Calibri" w:hAnsi="Calibri"/>
          <w:b/>
          <w:color w:val="444444"/>
          <w:szCs w:val="15"/>
        </w:rPr>
        <w:t xml:space="preserve">    </w:t>
      </w:r>
      <w:r w:rsidR="007B61C5" w:rsidRPr="007B61C5">
        <w:rPr>
          <w:rFonts w:ascii="Calibri" w:hAnsi="Calibri"/>
          <w:b/>
          <w:color w:val="444444"/>
          <w:szCs w:val="15"/>
        </w:rPr>
        <w:t>Deferred Studies Are Impermissible</w:t>
      </w:r>
      <w:r w:rsidR="007B61C5">
        <w:rPr>
          <w:rFonts w:ascii="Calibri" w:hAnsi="Calibri"/>
          <w:color w:val="444444"/>
          <w:szCs w:val="15"/>
        </w:rPr>
        <w:t xml:space="preserve">. The ZA’s </w:t>
      </w:r>
      <w:r w:rsidR="00BD4E71">
        <w:rPr>
          <w:rFonts w:ascii="Calibri" w:hAnsi="Calibri"/>
          <w:color w:val="444444"/>
          <w:szCs w:val="15"/>
        </w:rPr>
        <w:t>conditions require</w:t>
      </w:r>
      <w:r w:rsidR="0003055B">
        <w:rPr>
          <w:rFonts w:ascii="Calibri" w:hAnsi="Calibri"/>
          <w:color w:val="444444"/>
          <w:szCs w:val="15"/>
        </w:rPr>
        <w:t xml:space="preserve"> numerous issues to be det</w:t>
      </w:r>
      <w:r w:rsidR="00762DB9">
        <w:rPr>
          <w:rFonts w:ascii="Calibri" w:hAnsi="Calibri"/>
          <w:color w:val="444444"/>
          <w:szCs w:val="15"/>
        </w:rPr>
        <w:t>e</w:t>
      </w:r>
      <w:r w:rsidR="0003055B">
        <w:rPr>
          <w:rFonts w:ascii="Calibri" w:hAnsi="Calibri"/>
          <w:color w:val="444444"/>
          <w:szCs w:val="15"/>
        </w:rPr>
        <w:t>rmined at a later time, subsequent to the grant of this over-all entitlement. Merely reciting that they must be complied with prior</w:t>
      </w:r>
      <w:r w:rsidR="00762DB9">
        <w:rPr>
          <w:rFonts w:ascii="Calibri" w:hAnsi="Calibri"/>
          <w:color w:val="444444"/>
          <w:szCs w:val="15"/>
        </w:rPr>
        <w:t xml:space="preserve"> to issuance o</w:t>
      </w:r>
      <w:r w:rsidR="0003055B">
        <w:rPr>
          <w:rFonts w:ascii="Calibri" w:hAnsi="Calibri"/>
          <w:color w:val="444444"/>
          <w:szCs w:val="15"/>
        </w:rPr>
        <w:t>f a building permit is insufficient for CEQA compliance, beca</w:t>
      </w:r>
      <w:r w:rsidR="00762DB9">
        <w:rPr>
          <w:rFonts w:ascii="Calibri" w:hAnsi="Calibri"/>
          <w:color w:val="444444"/>
          <w:szCs w:val="15"/>
        </w:rPr>
        <w:t>use this pla</w:t>
      </w:r>
      <w:r w:rsidR="0003055B">
        <w:rPr>
          <w:rFonts w:ascii="Calibri" w:hAnsi="Calibri"/>
          <w:color w:val="444444"/>
          <w:szCs w:val="15"/>
        </w:rPr>
        <w:t>ces the subsequent actions beyond public scrutiny and pre</w:t>
      </w:r>
      <w:r w:rsidR="00762DB9">
        <w:rPr>
          <w:rFonts w:ascii="Calibri" w:hAnsi="Calibri"/>
          <w:color w:val="444444"/>
          <w:szCs w:val="15"/>
        </w:rPr>
        <w:t>judices approval irrespective of</w:t>
      </w:r>
      <w:r w:rsidR="0003055B">
        <w:rPr>
          <w:rFonts w:ascii="Calibri" w:hAnsi="Calibri"/>
          <w:color w:val="444444"/>
          <w:szCs w:val="15"/>
        </w:rPr>
        <w:t xml:space="preserve"> what kind of information is contained in the reports. For example, </w:t>
      </w:r>
      <w:r w:rsidR="00BD4E71">
        <w:rPr>
          <w:rFonts w:ascii="Calibri" w:hAnsi="Calibri"/>
          <w:color w:val="444444"/>
          <w:szCs w:val="15"/>
        </w:rPr>
        <w:t xml:space="preserve">a </w:t>
      </w:r>
      <w:r w:rsidR="00BD4E71" w:rsidRPr="00291D0E">
        <w:rPr>
          <w:rFonts w:ascii="Calibri" w:hAnsi="Calibri"/>
          <w:b/>
          <w:color w:val="444444"/>
          <w:szCs w:val="15"/>
        </w:rPr>
        <w:t>tree report</w:t>
      </w:r>
      <w:r w:rsidR="00BD4E71">
        <w:rPr>
          <w:rFonts w:ascii="Calibri" w:hAnsi="Calibri"/>
          <w:color w:val="444444"/>
          <w:szCs w:val="15"/>
        </w:rPr>
        <w:t xml:space="preserve"> </w:t>
      </w:r>
      <w:r w:rsidR="0003055B">
        <w:rPr>
          <w:rFonts w:ascii="Calibri" w:hAnsi="Calibri"/>
          <w:color w:val="444444"/>
          <w:szCs w:val="15"/>
        </w:rPr>
        <w:t xml:space="preserve">is required </w:t>
      </w:r>
      <w:r w:rsidR="00BD4E71">
        <w:rPr>
          <w:rFonts w:ascii="Calibri" w:hAnsi="Calibri"/>
          <w:color w:val="444444"/>
          <w:szCs w:val="15"/>
        </w:rPr>
        <w:t>prior to issuance of a grading permit</w:t>
      </w:r>
      <w:r w:rsidR="009F613B">
        <w:rPr>
          <w:rFonts w:ascii="Calibri" w:hAnsi="Calibri"/>
          <w:color w:val="444444"/>
          <w:szCs w:val="15"/>
        </w:rPr>
        <w:t xml:space="preserve"> (pages</w:t>
      </w:r>
      <w:r w:rsidR="00762DB9">
        <w:rPr>
          <w:rFonts w:ascii="Calibri" w:hAnsi="Calibri"/>
          <w:color w:val="444444"/>
          <w:szCs w:val="15"/>
        </w:rPr>
        <w:t xml:space="preserve"> </w:t>
      </w:r>
      <w:r w:rsidR="009F613B">
        <w:rPr>
          <w:rFonts w:ascii="Calibri" w:hAnsi="Calibri"/>
          <w:color w:val="444444"/>
          <w:szCs w:val="15"/>
        </w:rPr>
        <w:t>6-7, LOD)</w:t>
      </w:r>
      <w:r w:rsidR="00BD4E71">
        <w:rPr>
          <w:rFonts w:ascii="Calibri" w:hAnsi="Calibri"/>
          <w:color w:val="444444"/>
          <w:szCs w:val="15"/>
        </w:rPr>
        <w:t>.</w:t>
      </w:r>
      <w:r w:rsidR="00291D0E">
        <w:rPr>
          <w:rFonts w:ascii="Calibri" w:hAnsi="Calibri"/>
          <w:color w:val="444444"/>
          <w:szCs w:val="15"/>
        </w:rPr>
        <w:t xml:space="preserve"> </w:t>
      </w:r>
      <w:r w:rsidR="00762DB9">
        <w:rPr>
          <w:rFonts w:ascii="Calibri" w:hAnsi="Calibri"/>
          <w:color w:val="444444"/>
          <w:szCs w:val="15"/>
        </w:rPr>
        <w:t>There are protected species of trees on or near the entrance to the site (Torrey Pines).</w:t>
      </w:r>
      <w:r w:rsidR="00BD4E71">
        <w:rPr>
          <w:rFonts w:ascii="Calibri" w:hAnsi="Calibri"/>
          <w:color w:val="444444"/>
          <w:szCs w:val="15"/>
        </w:rPr>
        <w:t xml:space="preserve"> The tree report and ancillary matter</w:t>
      </w:r>
      <w:r w:rsidR="007B61C5">
        <w:rPr>
          <w:rFonts w:ascii="Calibri" w:hAnsi="Calibri"/>
          <w:color w:val="444444"/>
          <w:szCs w:val="15"/>
        </w:rPr>
        <w:t>s deali</w:t>
      </w:r>
      <w:r w:rsidR="00291D0E">
        <w:rPr>
          <w:rFonts w:ascii="Calibri" w:hAnsi="Calibri"/>
          <w:color w:val="444444"/>
          <w:szCs w:val="15"/>
        </w:rPr>
        <w:t>ng with the protection of trees</w:t>
      </w:r>
      <w:r w:rsidR="00BD4E71">
        <w:rPr>
          <w:rFonts w:ascii="Calibri" w:hAnsi="Calibri"/>
          <w:color w:val="444444"/>
          <w:szCs w:val="15"/>
        </w:rPr>
        <w:t xml:space="preserve"> should have </w:t>
      </w:r>
      <w:r w:rsidR="00BD4E71" w:rsidRPr="00762DB9">
        <w:rPr>
          <w:rFonts w:ascii="Calibri" w:hAnsi="Calibri"/>
          <w:i/>
          <w:color w:val="444444"/>
          <w:szCs w:val="15"/>
        </w:rPr>
        <w:t>preceded</w:t>
      </w:r>
      <w:r w:rsidR="00BD4E71">
        <w:rPr>
          <w:rFonts w:ascii="Calibri" w:hAnsi="Calibri"/>
          <w:color w:val="444444"/>
          <w:szCs w:val="15"/>
        </w:rPr>
        <w:t xml:space="preserve"> any approval by the ZA and been attached as a supplement or addendum to a proper EIR. Making the </w:t>
      </w:r>
      <w:r w:rsidR="00762DB9">
        <w:rPr>
          <w:rFonts w:ascii="Calibri" w:hAnsi="Calibri"/>
          <w:color w:val="444444"/>
          <w:szCs w:val="15"/>
        </w:rPr>
        <w:t xml:space="preserve">final </w:t>
      </w:r>
      <w:r w:rsidR="00BD4E71">
        <w:rPr>
          <w:rFonts w:ascii="Calibri" w:hAnsi="Calibri"/>
          <w:color w:val="444444"/>
          <w:szCs w:val="15"/>
        </w:rPr>
        <w:t>decision before obtaining the report pr</w:t>
      </w:r>
      <w:r w:rsidR="009F613B">
        <w:rPr>
          <w:rFonts w:ascii="Calibri" w:hAnsi="Calibri"/>
          <w:color w:val="444444"/>
          <w:szCs w:val="15"/>
        </w:rPr>
        <w:t>ejudices the decision in favor of approval no matter what the report says.</w:t>
      </w:r>
    </w:p>
    <w:p w:rsidR="009F613B" w:rsidRDefault="009F613B">
      <w:pPr>
        <w:rPr>
          <w:rFonts w:ascii="Calibri" w:hAnsi="Calibri"/>
          <w:color w:val="444444"/>
          <w:szCs w:val="15"/>
        </w:rPr>
      </w:pPr>
    </w:p>
    <w:p w:rsidR="00762DB9" w:rsidRDefault="009F613B">
      <w:pPr>
        <w:rPr>
          <w:rFonts w:ascii="Calibri" w:hAnsi="Calibri"/>
          <w:color w:val="444444"/>
          <w:szCs w:val="15"/>
        </w:rPr>
      </w:pPr>
      <w:r>
        <w:rPr>
          <w:rFonts w:ascii="Calibri" w:hAnsi="Calibri"/>
          <w:color w:val="444444"/>
          <w:szCs w:val="15"/>
        </w:rPr>
        <w:t xml:space="preserve"> The same issue arises with respect to a post-facto requirement to design and submit a </w:t>
      </w:r>
      <w:r w:rsidRPr="00291D0E">
        <w:rPr>
          <w:rFonts w:ascii="Calibri" w:hAnsi="Calibri"/>
          <w:b/>
          <w:color w:val="444444"/>
          <w:szCs w:val="15"/>
        </w:rPr>
        <w:t>grading plan</w:t>
      </w:r>
      <w:r>
        <w:rPr>
          <w:rFonts w:ascii="Calibri" w:hAnsi="Calibri"/>
          <w:color w:val="444444"/>
          <w:szCs w:val="15"/>
        </w:rPr>
        <w:t>, especially in this hillside area with unstable geologic conditions. We don’t have good information that grading can actually be safely done at this site without endangering</w:t>
      </w:r>
      <w:r w:rsidR="00762DB9">
        <w:rPr>
          <w:rFonts w:ascii="Calibri" w:hAnsi="Calibri"/>
          <w:color w:val="444444"/>
          <w:szCs w:val="15"/>
        </w:rPr>
        <w:t xml:space="preserve"> the residents at Malibu Estates</w:t>
      </w:r>
      <w:r>
        <w:rPr>
          <w:rFonts w:ascii="Calibri" w:hAnsi="Calibri"/>
          <w:color w:val="444444"/>
          <w:szCs w:val="15"/>
        </w:rPr>
        <w:t xml:space="preserve"> directly below the site. Making the assumption that Best Management Practices will mitigate</w:t>
      </w:r>
      <w:r w:rsidR="00D300DC">
        <w:rPr>
          <w:rFonts w:ascii="Calibri" w:hAnsi="Calibri"/>
          <w:color w:val="444444"/>
          <w:szCs w:val="15"/>
        </w:rPr>
        <w:t xml:space="preserve"> any problems is</w:t>
      </w:r>
      <w:r w:rsidR="00762DB9">
        <w:rPr>
          <w:rFonts w:ascii="Calibri" w:hAnsi="Calibri"/>
          <w:color w:val="444444"/>
          <w:szCs w:val="15"/>
        </w:rPr>
        <w:t xml:space="preserve"> not acceptable; </w:t>
      </w:r>
      <w:r>
        <w:rPr>
          <w:rFonts w:ascii="Calibri" w:hAnsi="Calibri"/>
          <w:color w:val="444444"/>
          <w:szCs w:val="15"/>
        </w:rPr>
        <w:t>this should be fully explored in an EIR rather than postponed to a later date.</w:t>
      </w:r>
    </w:p>
    <w:p w:rsidR="009F613B" w:rsidRDefault="009F613B">
      <w:pPr>
        <w:rPr>
          <w:rFonts w:ascii="Calibri" w:hAnsi="Calibri"/>
          <w:color w:val="444444"/>
          <w:szCs w:val="15"/>
        </w:rPr>
      </w:pPr>
    </w:p>
    <w:p w:rsidR="001B76C4" w:rsidRDefault="00CA0F15">
      <w:pPr>
        <w:rPr>
          <w:rFonts w:ascii="Calibri" w:hAnsi="Calibri"/>
          <w:color w:val="444444"/>
          <w:szCs w:val="15"/>
        </w:rPr>
      </w:pPr>
      <w:r>
        <w:rPr>
          <w:rFonts w:ascii="Calibri" w:hAnsi="Calibri"/>
          <w:color w:val="444444"/>
          <w:szCs w:val="15"/>
        </w:rPr>
        <w:t xml:space="preserve">   </w:t>
      </w:r>
      <w:r w:rsidR="009F613B">
        <w:rPr>
          <w:rFonts w:ascii="Calibri" w:hAnsi="Calibri"/>
          <w:color w:val="444444"/>
          <w:szCs w:val="15"/>
        </w:rPr>
        <w:t>Similarly</w:t>
      </w:r>
      <w:r w:rsidR="00424B39">
        <w:rPr>
          <w:rFonts w:ascii="Calibri" w:hAnsi="Calibri"/>
          <w:color w:val="444444"/>
          <w:szCs w:val="15"/>
        </w:rPr>
        <w:t>, conditions</w:t>
      </w:r>
      <w:r w:rsidR="009F613B">
        <w:rPr>
          <w:rFonts w:ascii="Calibri" w:hAnsi="Calibri"/>
          <w:color w:val="444444"/>
          <w:szCs w:val="15"/>
        </w:rPr>
        <w:t xml:space="preserve"> </w:t>
      </w:r>
      <w:r w:rsidR="0069153C">
        <w:rPr>
          <w:rFonts w:ascii="Calibri" w:hAnsi="Calibri"/>
          <w:color w:val="444444"/>
          <w:szCs w:val="15"/>
        </w:rPr>
        <w:t>“</w:t>
      </w:r>
      <w:r w:rsidR="009F613B">
        <w:rPr>
          <w:rFonts w:ascii="Calibri" w:hAnsi="Calibri"/>
          <w:color w:val="444444"/>
          <w:szCs w:val="15"/>
        </w:rPr>
        <w:t>m</w:t>
      </w:r>
      <w:r w:rsidR="0069153C">
        <w:rPr>
          <w:rFonts w:ascii="Calibri" w:hAnsi="Calibri"/>
          <w:color w:val="444444"/>
          <w:szCs w:val="15"/>
        </w:rPr>
        <w:t>”</w:t>
      </w:r>
      <w:r w:rsidR="009F613B">
        <w:rPr>
          <w:rFonts w:ascii="Calibri" w:hAnsi="Calibri"/>
          <w:color w:val="444444"/>
          <w:szCs w:val="15"/>
        </w:rPr>
        <w:t xml:space="preserve"> and </w:t>
      </w:r>
      <w:r w:rsidR="0069153C">
        <w:rPr>
          <w:rFonts w:ascii="Calibri" w:hAnsi="Calibri"/>
          <w:color w:val="444444"/>
          <w:szCs w:val="15"/>
        </w:rPr>
        <w:t>“n”</w:t>
      </w:r>
      <w:r w:rsidR="00424B39">
        <w:rPr>
          <w:rFonts w:ascii="Calibri" w:hAnsi="Calibri"/>
          <w:color w:val="444444"/>
          <w:szCs w:val="15"/>
        </w:rPr>
        <w:t xml:space="preserve"> </w:t>
      </w:r>
      <w:r w:rsidR="009F613B">
        <w:rPr>
          <w:rFonts w:ascii="Calibri" w:hAnsi="Calibri"/>
          <w:color w:val="444444"/>
          <w:szCs w:val="15"/>
        </w:rPr>
        <w:t xml:space="preserve">at pages 9-10 requires </w:t>
      </w:r>
      <w:r w:rsidR="009F613B" w:rsidRPr="00291D0E">
        <w:rPr>
          <w:rFonts w:ascii="Calibri" w:hAnsi="Calibri"/>
          <w:b/>
          <w:color w:val="444444"/>
          <w:szCs w:val="15"/>
        </w:rPr>
        <w:t>a geotechnical report</w:t>
      </w:r>
      <w:r w:rsidR="009F613B">
        <w:rPr>
          <w:rFonts w:ascii="Calibri" w:hAnsi="Calibri"/>
          <w:color w:val="444444"/>
          <w:szCs w:val="15"/>
        </w:rPr>
        <w:t xml:space="preserve"> prior to issuance of grading permits, but this is after the ZA has approved the project, again putting the cart before the horse.  The</w:t>
      </w:r>
      <w:r w:rsidR="003F7B3A">
        <w:rPr>
          <w:rFonts w:ascii="Calibri" w:hAnsi="Calibri"/>
          <w:color w:val="444444"/>
          <w:szCs w:val="15"/>
        </w:rPr>
        <w:t xml:space="preserve"> issues of “soil strength loss”, ground </w:t>
      </w:r>
      <w:r w:rsidR="0069153C">
        <w:rPr>
          <w:rFonts w:ascii="Calibri" w:hAnsi="Calibri"/>
          <w:color w:val="444444"/>
          <w:szCs w:val="15"/>
        </w:rPr>
        <w:t>stabilization,</w:t>
      </w:r>
      <w:r w:rsidR="00424B39">
        <w:rPr>
          <w:rFonts w:ascii="Calibri" w:hAnsi="Calibri"/>
          <w:color w:val="444444"/>
          <w:szCs w:val="15"/>
        </w:rPr>
        <w:t xml:space="preserve"> structural systems, </w:t>
      </w:r>
      <w:r w:rsidR="003F7B3A">
        <w:rPr>
          <w:rFonts w:ascii="Calibri" w:hAnsi="Calibri"/>
          <w:color w:val="444444"/>
          <w:szCs w:val="15"/>
        </w:rPr>
        <w:t xml:space="preserve">and the “potential consequences of any landslide and </w:t>
      </w:r>
      <w:r w:rsidR="00424B39">
        <w:rPr>
          <w:rFonts w:ascii="Calibri" w:hAnsi="Calibri"/>
          <w:color w:val="444444"/>
          <w:szCs w:val="15"/>
        </w:rPr>
        <w:t>soil displacement, estimation of</w:t>
      </w:r>
      <w:r w:rsidR="003F7B3A">
        <w:rPr>
          <w:rFonts w:ascii="Calibri" w:hAnsi="Calibri"/>
          <w:color w:val="444444"/>
          <w:szCs w:val="15"/>
        </w:rPr>
        <w:t xml:space="preserve"> settlement, lateral movement, or reduction in foundation soil-bearing capacity</w:t>
      </w:r>
      <w:r w:rsidR="00424B39">
        <w:rPr>
          <w:rFonts w:ascii="Calibri" w:hAnsi="Calibri"/>
          <w:color w:val="444444"/>
          <w:szCs w:val="15"/>
        </w:rPr>
        <w:t>” are extreme</w:t>
      </w:r>
      <w:r w:rsidR="003F7B3A">
        <w:rPr>
          <w:rFonts w:ascii="Calibri" w:hAnsi="Calibri"/>
          <w:color w:val="444444"/>
          <w:szCs w:val="15"/>
        </w:rPr>
        <w:t xml:space="preserve">ly important factors requiring analysis and mitigation, yet they are illegally deferred to post-approval time when </w:t>
      </w:r>
      <w:r w:rsidR="00762DB9">
        <w:rPr>
          <w:rFonts w:ascii="Calibri" w:hAnsi="Calibri"/>
          <w:color w:val="444444"/>
          <w:szCs w:val="15"/>
        </w:rPr>
        <w:t>there will be no circulation of the information, no public hearings, and the public will</w:t>
      </w:r>
      <w:r w:rsidR="003F7B3A">
        <w:rPr>
          <w:rFonts w:ascii="Calibri" w:hAnsi="Calibri"/>
          <w:color w:val="444444"/>
          <w:szCs w:val="15"/>
        </w:rPr>
        <w:t xml:space="preserve"> no longer</w:t>
      </w:r>
      <w:r w:rsidR="00762DB9">
        <w:rPr>
          <w:rFonts w:ascii="Calibri" w:hAnsi="Calibri"/>
          <w:color w:val="444444"/>
          <w:szCs w:val="15"/>
        </w:rPr>
        <w:t xml:space="preserve"> be notified or be </w:t>
      </w:r>
      <w:r w:rsidR="003F7B3A">
        <w:rPr>
          <w:rFonts w:ascii="Calibri" w:hAnsi="Calibri"/>
          <w:color w:val="444444"/>
          <w:szCs w:val="15"/>
        </w:rPr>
        <w:t>privy to what is being reported or done to mitigate the problems that will be revealed in the reports. We know from simply reviewing the city’s ZIMAS information that this site is in an active fault (Santa Monica fault) and a landslide zone.</w:t>
      </w:r>
      <w:r w:rsidR="00762DB9">
        <w:rPr>
          <w:rFonts w:ascii="Calibri" w:hAnsi="Calibri"/>
          <w:color w:val="444444"/>
          <w:szCs w:val="15"/>
        </w:rPr>
        <w:t xml:space="preserve"> </w:t>
      </w:r>
      <w:r w:rsidR="007E75BB">
        <w:rPr>
          <w:rFonts w:ascii="Calibri" w:hAnsi="Calibri"/>
          <w:color w:val="444444"/>
          <w:szCs w:val="15"/>
        </w:rPr>
        <w:t>Appellant Pacific</w:t>
      </w:r>
      <w:r w:rsidR="00762DB9">
        <w:rPr>
          <w:rFonts w:ascii="Calibri" w:hAnsi="Calibri"/>
          <w:color w:val="444444"/>
          <w:szCs w:val="15"/>
        </w:rPr>
        <w:t xml:space="preserve"> Investment </w:t>
      </w:r>
      <w:r w:rsidR="007E75BB">
        <w:rPr>
          <w:rFonts w:ascii="Calibri" w:hAnsi="Calibri"/>
          <w:color w:val="444444"/>
          <w:szCs w:val="15"/>
        </w:rPr>
        <w:t>Co will</w:t>
      </w:r>
      <w:r w:rsidR="00762DB9">
        <w:rPr>
          <w:rFonts w:ascii="Calibri" w:hAnsi="Calibri"/>
          <w:color w:val="444444"/>
          <w:szCs w:val="15"/>
        </w:rPr>
        <w:t xml:space="preserve"> present evidence at the hearing that the land is clearly moving at this site, as evidenced by cracks and damaged floors and </w:t>
      </w:r>
      <w:r w:rsidR="007E75BB">
        <w:rPr>
          <w:rFonts w:ascii="Calibri" w:hAnsi="Calibri"/>
          <w:color w:val="444444"/>
          <w:szCs w:val="15"/>
        </w:rPr>
        <w:t>structures on</w:t>
      </w:r>
      <w:r w:rsidR="00762DB9">
        <w:rPr>
          <w:rFonts w:ascii="Calibri" w:hAnsi="Calibri"/>
          <w:color w:val="444444"/>
          <w:szCs w:val="15"/>
        </w:rPr>
        <w:t xml:space="preserve"> the adjacent property owned</w:t>
      </w:r>
      <w:r w:rsidR="007E75BB">
        <w:rPr>
          <w:rFonts w:ascii="Calibri" w:hAnsi="Calibri"/>
          <w:color w:val="444444"/>
          <w:szCs w:val="15"/>
        </w:rPr>
        <w:t xml:space="preserve"> by them.  </w:t>
      </w:r>
    </w:p>
    <w:p w:rsidR="007E75BB" w:rsidRDefault="007E75BB">
      <w:pPr>
        <w:rPr>
          <w:rFonts w:ascii="Calibri" w:hAnsi="Calibri"/>
          <w:color w:val="444444"/>
          <w:szCs w:val="15"/>
        </w:rPr>
      </w:pPr>
    </w:p>
    <w:p w:rsidR="00CA0F15" w:rsidRDefault="00CA0F15">
      <w:pPr>
        <w:rPr>
          <w:rFonts w:ascii="Calibri" w:hAnsi="Calibri"/>
          <w:color w:val="444444"/>
          <w:szCs w:val="15"/>
        </w:rPr>
      </w:pPr>
      <w:r>
        <w:rPr>
          <w:rFonts w:ascii="Calibri" w:hAnsi="Calibri"/>
          <w:color w:val="444444"/>
          <w:szCs w:val="15"/>
        </w:rPr>
        <w:t xml:space="preserve">   </w:t>
      </w:r>
      <w:r w:rsidR="007E75BB">
        <w:rPr>
          <w:rFonts w:ascii="Calibri" w:hAnsi="Calibri"/>
          <w:color w:val="444444"/>
          <w:szCs w:val="15"/>
        </w:rPr>
        <w:t>Moreover, t</w:t>
      </w:r>
      <w:r w:rsidR="003F7B3A">
        <w:rPr>
          <w:rFonts w:ascii="Calibri" w:hAnsi="Calibri"/>
          <w:color w:val="444444"/>
          <w:szCs w:val="15"/>
        </w:rPr>
        <w:t>he site is built of artificial</w:t>
      </w:r>
      <w:r w:rsidR="00291D0E">
        <w:rPr>
          <w:rFonts w:ascii="Calibri" w:hAnsi="Calibri"/>
          <w:color w:val="444444"/>
          <w:szCs w:val="15"/>
        </w:rPr>
        <w:t xml:space="preserve"> (trash)</w:t>
      </w:r>
      <w:r w:rsidR="003F7B3A">
        <w:rPr>
          <w:rFonts w:ascii="Calibri" w:hAnsi="Calibri"/>
          <w:color w:val="444444"/>
          <w:szCs w:val="15"/>
        </w:rPr>
        <w:t xml:space="preserve"> fill, and the issues of how the </w:t>
      </w:r>
      <w:r w:rsidR="003F7B3A" w:rsidRPr="00762DB9">
        <w:rPr>
          <w:rFonts w:ascii="Calibri" w:hAnsi="Calibri"/>
          <w:b/>
          <w:color w:val="444444"/>
          <w:szCs w:val="15"/>
        </w:rPr>
        <w:t>drainage</w:t>
      </w:r>
      <w:r w:rsidR="003F7B3A">
        <w:rPr>
          <w:rFonts w:ascii="Calibri" w:hAnsi="Calibri"/>
          <w:color w:val="444444"/>
          <w:szCs w:val="15"/>
        </w:rPr>
        <w:t xml:space="preserve"> will infiltrate </w:t>
      </w:r>
      <w:r w:rsidR="007E75BB">
        <w:rPr>
          <w:rFonts w:ascii="Calibri" w:hAnsi="Calibri"/>
          <w:color w:val="444444"/>
          <w:szCs w:val="15"/>
        </w:rPr>
        <w:t>it, what directions the water comes from and how it will be collected and distributed without undermining the</w:t>
      </w:r>
      <w:r w:rsidR="003F7B3A">
        <w:rPr>
          <w:rFonts w:ascii="Calibri" w:hAnsi="Calibri"/>
          <w:color w:val="444444"/>
          <w:szCs w:val="15"/>
        </w:rPr>
        <w:t xml:space="preserve"> bluff mass</w:t>
      </w:r>
      <w:r w:rsidR="007E75BB">
        <w:rPr>
          <w:rFonts w:ascii="Calibri" w:hAnsi="Calibri"/>
          <w:color w:val="444444"/>
          <w:szCs w:val="15"/>
        </w:rPr>
        <w:t>,</w:t>
      </w:r>
      <w:r w:rsidR="003F7B3A">
        <w:rPr>
          <w:rFonts w:ascii="Calibri" w:hAnsi="Calibri"/>
          <w:color w:val="444444"/>
          <w:szCs w:val="15"/>
        </w:rPr>
        <w:t xml:space="preserve"> should be clearly laid before you for intelligent analysis</w:t>
      </w:r>
      <w:r w:rsidR="007E75BB">
        <w:rPr>
          <w:rFonts w:ascii="Calibri" w:hAnsi="Calibri"/>
          <w:color w:val="444444"/>
          <w:szCs w:val="15"/>
        </w:rPr>
        <w:t xml:space="preserve"> in an EIR</w:t>
      </w:r>
      <w:r w:rsidR="003F7B3A">
        <w:rPr>
          <w:rFonts w:ascii="Calibri" w:hAnsi="Calibri"/>
          <w:color w:val="444444"/>
          <w:szCs w:val="15"/>
        </w:rPr>
        <w:t xml:space="preserve">, rather than simply deferring to later review by LADBS. </w:t>
      </w:r>
      <w:r w:rsidR="001B76C4">
        <w:rPr>
          <w:rFonts w:ascii="Calibri" w:hAnsi="Calibri"/>
          <w:color w:val="444444"/>
          <w:szCs w:val="15"/>
        </w:rPr>
        <w:t xml:space="preserve">My client is especially concerned about the </w:t>
      </w:r>
      <w:r w:rsidR="00951147">
        <w:rPr>
          <w:rFonts w:ascii="Calibri" w:hAnsi="Calibri"/>
          <w:color w:val="444444"/>
          <w:szCs w:val="15"/>
        </w:rPr>
        <w:t>impacts the</w:t>
      </w:r>
      <w:r w:rsidR="001B76C4">
        <w:rPr>
          <w:rFonts w:ascii="Calibri" w:hAnsi="Calibri"/>
          <w:color w:val="444444"/>
          <w:szCs w:val="15"/>
        </w:rPr>
        <w:t xml:space="preserve"> construction and use of the property will have on their adjacent land occupied by an older </w:t>
      </w:r>
      <w:r w:rsidR="00951147">
        <w:rPr>
          <w:rFonts w:ascii="Calibri" w:hAnsi="Calibri"/>
          <w:color w:val="444444"/>
          <w:szCs w:val="15"/>
        </w:rPr>
        <w:t>apartment building</w:t>
      </w:r>
      <w:r w:rsidR="001B76C4">
        <w:rPr>
          <w:rFonts w:ascii="Calibri" w:hAnsi="Calibri"/>
          <w:color w:val="444444"/>
          <w:szCs w:val="15"/>
        </w:rPr>
        <w:t xml:space="preserve"> that is susceptible to damages from earth movements, drainage, and construction disturbances. We attach hereto as </w:t>
      </w:r>
      <w:r w:rsidR="001B76C4" w:rsidRPr="001B76C4">
        <w:rPr>
          <w:rFonts w:ascii="Calibri" w:hAnsi="Calibri"/>
          <w:b/>
          <w:color w:val="444444"/>
          <w:szCs w:val="15"/>
        </w:rPr>
        <w:t>EXHIBIT F</w:t>
      </w:r>
      <w:r w:rsidR="001B76C4">
        <w:rPr>
          <w:rFonts w:ascii="Calibri" w:hAnsi="Calibri"/>
          <w:color w:val="444444"/>
          <w:szCs w:val="15"/>
        </w:rPr>
        <w:t xml:space="preserve"> for review an up-to-date (January 7, 2015) report by</w:t>
      </w:r>
      <w:r w:rsidR="00951147">
        <w:rPr>
          <w:rFonts w:ascii="Calibri" w:hAnsi="Calibri"/>
          <w:color w:val="444444"/>
          <w:szCs w:val="15"/>
        </w:rPr>
        <w:t xml:space="preserve"> hydrology expert Cathrene Glick, PG, CEG, CHG, OSD of the Costa Mesa </w:t>
      </w:r>
      <w:proofErr w:type="gramStart"/>
      <w:r w:rsidR="00951147">
        <w:rPr>
          <w:rFonts w:ascii="Calibri" w:hAnsi="Calibri"/>
          <w:color w:val="444444"/>
          <w:szCs w:val="15"/>
        </w:rPr>
        <w:t>firm</w:t>
      </w:r>
      <w:r w:rsidR="001B76C4">
        <w:rPr>
          <w:rFonts w:ascii="Calibri" w:hAnsi="Calibri"/>
          <w:color w:val="444444"/>
          <w:szCs w:val="15"/>
        </w:rPr>
        <w:t xml:space="preserve">  </w:t>
      </w:r>
      <w:r w:rsidR="001B76C4" w:rsidRPr="00951147">
        <w:rPr>
          <w:rFonts w:ascii="Calibri" w:hAnsi="Calibri"/>
          <w:b/>
          <w:color w:val="444444"/>
          <w:szCs w:val="15"/>
        </w:rPr>
        <w:t>G3SoilWorks</w:t>
      </w:r>
      <w:proofErr w:type="gramEnd"/>
      <w:r w:rsidR="001B76C4" w:rsidRPr="00951147">
        <w:rPr>
          <w:rFonts w:ascii="Calibri" w:hAnsi="Calibri"/>
          <w:b/>
          <w:color w:val="444444"/>
          <w:szCs w:val="15"/>
        </w:rPr>
        <w:t>, Inc</w:t>
      </w:r>
      <w:r w:rsidR="001B76C4">
        <w:rPr>
          <w:rFonts w:ascii="Calibri" w:hAnsi="Calibri"/>
          <w:color w:val="444444"/>
          <w:szCs w:val="15"/>
        </w:rPr>
        <w:t xml:space="preserve">., </w:t>
      </w:r>
      <w:r w:rsidR="00951147">
        <w:rPr>
          <w:rFonts w:ascii="Calibri" w:hAnsi="Calibri"/>
          <w:color w:val="444444"/>
          <w:szCs w:val="15"/>
        </w:rPr>
        <w:t>which reviewed all outstanding reports by SASSAN  and elaborates on the comments made by others concerning the groundwater problems, focusing on the type of engineering study that is still required before this project can proceed. The findings in this report point out that the adjacent building is considered a “sensitive structure” susceptible to multiple modes of distress/failure from this proposed project. (</w:t>
      </w:r>
      <w:proofErr w:type="gramStart"/>
      <w:r w:rsidR="00951147">
        <w:rPr>
          <w:rFonts w:ascii="Calibri" w:hAnsi="Calibri"/>
          <w:color w:val="444444"/>
          <w:szCs w:val="15"/>
        </w:rPr>
        <w:t>id</w:t>
      </w:r>
      <w:proofErr w:type="gramEnd"/>
      <w:r w:rsidR="00951147">
        <w:rPr>
          <w:rFonts w:ascii="Calibri" w:hAnsi="Calibri"/>
          <w:color w:val="444444"/>
          <w:szCs w:val="15"/>
        </w:rPr>
        <w:t>, p.5). Ms. Glick n</w:t>
      </w:r>
      <w:r w:rsidR="000D4DAA">
        <w:rPr>
          <w:rFonts w:ascii="Calibri" w:hAnsi="Calibri"/>
          <w:color w:val="444444"/>
          <w:szCs w:val="15"/>
        </w:rPr>
        <w:t>otes that</w:t>
      </w:r>
      <w:r w:rsidR="00951147">
        <w:rPr>
          <w:rFonts w:ascii="Calibri" w:hAnsi="Calibri"/>
          <w:color w:val="444444"/>
          <w:szCs w:val="15"/>
        </w:rPr>
        <w:t xml:space="preserve"> construction activities of the type here proposed “result in short- and long-term</w:t>
      </w:r>
      <w:r w:rsidR="00C0759B">
        <w:rPr>
          <w:rFonts w:ascii="Calibri" w:hAnsi="Calibri"/>
          <w:color w:val="444444"/>
          <w:szCs w:val="15"/>
        </w:rPr>
        <w:t xml:space="preserve"> ground vibrations which if combined with dewatering of the underlying sediments could result in ground settlement and structural distress”, yet no ground surface settlement monitoring or structure foundation monitoring has been proposed or incorporated in the project plans. (Id). This report provides evidence of the type of mitigation that would be required in a grading plan to insure the safety of the activity. </w:t>
      </w:r>
      <w:r w:rsidR="00654472">
        <w:rPr>
          <w:rFonts w:ascii="Calibri" w:hAnsi="Calibri"/>
          <w:color w:val="444444"/>
          <w:szCs w:val="15"/>
        </w:rPr>
        <w:t xml:space="preserve">The impacts that </w:t>
      </w:r>
      <w:r>
        <w:rPr>
          <w:rFonts w:ascii="Calibri" w:hAnsi="Calibri"/>
          <w:color w:val="444444"/>
          <w:szCs w:val="15"/>
        </w:rPr>
        <w:t>the dewatering</w:t>
      </w:r>
      <w:r w:rsidR="00654472">
        <w:rPr>
          <w:rFonts w:ascii="Calibri" w:hAnsi="Calibri"/>
          <w:color w:val="444444"/>
          <w:szCs w:val="15"/>
        </w:rPr>
        <w:t xml:space="preserve"> of the property will have on the adjacent property have not been evaluated (id, p.6), and the report states that “This is a matter of such great significance that it cannot wait to be addressed/discovered once construction has begun, as is the current intent”. (Id). </w:t>
      </w:r>
    </w:p>
    <w:p w:rsidR="00CA0F15" w:rsidRDefault="00CA0F15">
      <w:pPr>
        <w:rPr>
          <w:rFonts w:ascii="Calibri" w:hAnsi="Calibri"/>
          <w:color w:val="444444"/>
          <w:szCs w:val="15"/>
        </w:rPr>
      </w:pPr>
    </w:p>
    <w:p w:rsidR="00762DB9" w:rsidRDefault="00CA0F15">
      <w:pPr>
        <w:rPr>
          <w:rFonts w:ascii="Calibri" w:hAnsi="Calibri"/>
          <w:color w:val="444444"/>
          <w:szCs w:val="15"/>
        </w:rPr>
      </w:pPr>
      <w:r>
        <w:rPr>
          <w:rFonts w:ascii="Calibri" w:hAnsi="Calibri"/>
          <w:color w:val="444444"/>
          <w:szCs w:val="15"/>
        </w:rPr>
        <w:t xml:space="preserve">       </w:t>
      </w:r>
      <w:r w:rsidR="00654472">
        <w:rPr>
          <w:rFonts w:ascii="Calibri" w:hAnsi="Calibri"/>
          <w:color w:val="444444"/>
          <w:szCs w:val="15"/>
        </w:rPr>
        <w:t>The proposal to use soldier beams for temporary shoring has not yet been detailed, rather is left to a construction matter at a later date. These deferred studies and proposals and necessary mitigations are all in violation of the basic requirement</w:t>
      </w:r>
      <w:r w:rsidR="000D4DAA">
        <w:rPr>
          <w:rFonts w:ascii="Calibri" w:hAnsi="Calibri"/>
          <w:color w:val="444444"/>
          <w:szCs w:val="15"/>
        </w:rPr>
        <w:t>s</w:t>
      </w:r>
      <w:r w:rsidR="00654472">
        <w:rPr>
          <w:rFonts w:ascii="Calibri" w:hAnsi="Calibri"/>
          <w:color w:val="444444"/>
          <w:szCs w:val="15"/>
        </w:rPr>
        <w:t xml:space="preserve"> of CEQA and cannot proceed as planned. “The Actual methods for assuring temporary and permanent stabilization of the ground, and specifically the need for underpinning the existing structure at 111 Marquez Place must be identified and engineering solution must be developed, and mutually agreed to by the owner of 111 Marquez Place, prior to issuance of a grading permit by the City. Again, this is a matter of such great significance that it cannot wait to be addressed/discovered once construction has begun, as is the current intent.” (Id). The report concludes with recommended investigations and analysis  (p.7)</w:t>
      </w:r>
      <w:r>
        <w:rPr>
          <w:rFonts w:ascii="Calibri" w:hAnsi="Calibri"/>
          <w:color w:val="444444"/>
          <w:szCs w:val="15"/>
        </w:rPr>
        <w:t xml:space="preserve"> addressing the impacts to the land (stability and settlement) and the existing structure at 111 Marquez Place resulting from the temporary construction and permanent dewatering activities. These details should be presented in an EIR as required by law </w:t>
      </w:r>
      <w:r w:rsidRPr="000D4DAA">
        <w:rPr>
          <w:rFonts w:ascii="Calibri" w:hAnsi="Calibri"/>
          <w:b/>
          <w:color w:val="444444"/>
          <w:szCs w:val="15"/>
        </w:rPr>
        <w:t>prior to project approval</w:t>
      </w:r>
      <w:r>
        <w:rPr>
          <w:rFonts w:ascii="Calibri" w:hAnsi="Calibri"/>
          <w:color w:val="444444"/>
          <w:szCs w:val="15"/>
        </w:rPr>
        <w:t>, rather than after approval as the ZA has proposed.</w:t>
      </w:r>
    </w:p>
    <w:p w:rsidR="003F7B3A" w:rsidRDefault="003F7B3A">
      <w:pPr>
        <w:rPr>
          <w:rFonts w:ascii="Calibri" w:hAnsi="Calibri"/>
          <w:color w:val="444444"/>
          <w:szCs w:val="15"/>
        </w:rPr>
      </w:pPr>
    </w:p>
    <w:p w:rsidR="00762DB9" w:rsidRDefault="00CA0F15">
      <w:pPr>
        <w:rPr>
          <w:rFonts w:ascii="Calibri" w:hAnsi="Calibri"/>
          <w:color w:val="444444"/>
          <w:szCs w:val="15"/>
        </w:rPr>
      </w:pPr>
      <w:r>
        <w:rPr>
          <w:rFonts w:ascii="Calibri" w:hAnsi="Calibri"/>
          <w:color w:val="444444"/>
          <w:szCs w:val="15"/>
        </w:rPr>
        <w:t xml:space="preserve">   </w:t>
      </w:r>
      <w:r w:rsidR="003F7B3A">
        <w:rPr>
          <w:rFonts w:ascii="Calibri" w:hAnsi="Calibri"/>
          <w:color w:val="444444"/>
          <w:szCs w:val="15"/>
        </w:rPr>
        <w:t xml:space="preserve">The same </w:t>
      </w:r>
      <w:r>
        <w:rPr>
          <w:rFonts w:ascii="Calibri" w:hAnsi="Calibri"/>
          <w:color w:val="444444"/>
          <w:szCs w:val="15"/>
        </w:rPr>
        <w:t xml:space="preserve">CEQA </w:t>
      </w:r>
      <w:r w:rsidR="003F7B3A">
        <w:rPr>
          <w:rFonts w:ascii="Calibri" w:hAnsi="Calibri"/>
          <w:color w:val="444444"/>
          <w:szCs w:val="15"/>
        </w:rPr>
        <w:t>deficiency applies to deferring a “</w:t>
      </w:r>
      <w:r w:rsidR="003F7B3A" w:rsidRPr="00291D0E">
        <w:rPr>
          <w:rFonts w:ascii="Calibri" w:hAnsi="Calibri"/>
          <w:b/>
          <w:color w:val="444444"/>
          <w:szCs w:val="15"/>
        </w:rPr>
        <w:t>pa</w:t>
      </w:r>
      <w:r w:rsidR="0069153C" w:rsidRPr="00291D0E">
        <w:rPr>
          <w:rFonts w:ascii="Calibri" w:hAnsi="Calibri"/>
          <w:b/>
          <w:color w:val="444444"/>
          <w:szCs w:val="15"/>
        </w:rPr>
        <w:t>rking and driveway plan</w:t>
      </w:r>
      <w:r w:rsidR="0069153C">
        <w:rPr>
          <w:rFonts w:ascii="Calibri" w:hAnsi="Calibri"/>
          <w:color w:val="444444"/>
          <w:szCs w:val="15"/>
        </w:rPr>
        <w:t>” to a la</w:t>
      </w:r>
      <w:r w:rsidR="003F7B3A">
        <w:rPr>
          <w:rFonts w:ascii="Calibri" w:hAnsi="Calibri"/>
          <w:color w:val="444444"/>
          <w:szCs w:val="15"/>
        </w:rPr>
        <w:t xml:space="preserve">ter date, which is the ZA’s </w:t>
      </w:r>
      <w:r w:rsidR="0069153C">
        <w:rPr>
          <w:rFonts w:ascii="Calibri" w:hAnsi="Calibri"/>
          <w:color w:val="444444"/>
          <w:szCs w:val="15"/>
        </w:rPr>
        <w:t xml:space="preserve">condition </w:t>
      </w:r>
      <w:r w:rsidR="00762DB9">
        <w:rPr>
          <w:rFonts w:ascii="Calibri" w:hAnsi="Calibri"/>
          <w:color w:val="444444"/>
          <w:szCs w:val="15"/>
        </w:rPr>
        <w:t>“</w:t>
      </w:r>
      <w:r w:rsidR="0069153C">
        <w:rPr>
          <w:rFonts w:ascii="Calibri" w:hAnsi="Calibri"/>
          <w:color w:val="444444"/>
          <w:szCs w:val="15"/>
        </w:rPr>
        <w:t>u</w:t>
      </w:r>
      <w:r w:rsidR="00762DB9">
        <w:rPr>
          <w:rFonts w:ascii="Calibri" w:hAnsi="Calibri"/>
          <w:color w:val="444444"/>
          <w:szCs w:val="15"/>
        </w:rPr>
        <w:t>”</w:t>
      </w:r>
      <w:r w:rsidR="0069153C">
        <w:rPr>
          <w:rFonts w:ascii="Calibri" w:hAnsi="Calibri"/>
          <w:color w:val="444444"/>
          <w:szCs w:val="15"/>
        </w:rPr>
        <w:t>, page 12.</w:t>
      </w:r>
      <w:r w:rsidR="005A655E">
        <w:rPr>
          <w:rFonts w:ascii="Calibri" w:hAnsi="Calibri"/>
          <w:color w:val="444444"/>
          <w:szCs w:val="15"/>
        </w:rPr>
        <w:t xml:space="preserve"> Given the fact that there are two T</w:t>
      </w:r>
      <w:r w:rsidR="0069153C">
        <w:rPr>
          <w:rFonts w:ascii="Calibri" w:hAnsi="Calibri"/>
          <w:color w:val="444444"/>
          <w:szCs w:val="15"/>
        </w:rPr>
        <w:t>orr</w:t>
      </w:r>
      <w:r w:rsidR="005A655E">
        <w:rPr>
          <w:rFonts w:ascii="Calibri" w:hAnsi="Calibri"/>
          <w:color w:val="444444"/>
          <w:szCs w:val="15"/>
        </w:rPr>
        <w:t>ey P</w:t>
      </w:r>
      <w:r w:rsidR="0069153C">
        <w:rPr>
          <w:rFonts w:ascii="Calibri" w:hAnsi="Calibri"/>
          <w:color w:val="444444"/>
          <w:szCs w:val="15"/>
        </w:rPr>
        <w:t xml:space="preserve">ine trees </w:t>
      </w:r>
      <w:r w:rsidR="005A655E">
        <w:rPr>
          <w:rFonts w:ascii="Calibri" w:hAnsi="Calibri"/>
          <w:color w:val="444444"/>
          <w:szCs w:val="15"/>
        </w:rPr>
        <w:t xml:space="preserve">in the right-of-way </w:t>
      </w:r>
      <w:r w:rsidR="0069153C">
        <w:rPr>
          <w:rFonts w:ascii="Calibri" w:hAnsi="Calibri"/>
          <w:color w:val="444444"/>
          <w:szCs w:val="15"/>
        </w:rPr>
        <w:t xml:space="preserve">at the site, the driveway plan should be submitted before any </w:t>
      </w:r>
      <w:r w:rsidR="005A655E">
        <w:rPr>
          <w:rFonts w:ascii="Calibri" w:hAnsi="Calibri"/>
          <w:color w:val="444444"/>
          <w:szCs w:val="15"/>
        </w:rPr>
        <w:t xml:space="preserve">entitlement </w:t>
      </w:r>
      <w:r w:rsidR="0069153C">
        <w:rPr>
          <w:rFonts w:ascii="Calibri" w:hAnsi="Calibri"/>
          <w:color w:val="444444"/>
          <w:szCs w:val="15"/>
        </w:rPr>
        <w:t>ap</w:t>
      </w:r>
      <w:r w:rsidR="005A655E">
        <w:rPr>
          <w:rFonts w:ascii="Calibri" w:hAnsi="Calibri"/>
          <w:color w:val="444444"/>
          <w:szCs w:val="15"/>
        </w:rPr>
        <w:t>provals are given determining</w:t>
      </w:r>
      <w:r w:rsidR="0069153C">
        <w:rPr>
          <w:rFonts w:ascii="Calibri" w:hAnsi="Calibri"/>
          <w:color w:val="444444"/>
          <w:szCs w:val="15"/>
        </w:rPr>
        <w:t xml:space="preserve"> </w:t>
      </w:r>
      <w:r w:rsidR="005A655E">
        <w:rPr>
          <w:rFonts w:ascii="Calibri" w:hAnsi="Calibri"/>
          <w:color w:val="444444"/>
          <w:szCs w:val="15"/>
        </w:rPr>
        <w:t>that this project can</w:t>
      </w:r>
      <w:r w:rsidR="0069153C">
        <w:rPr>
          <w:rFonts w:ascii="Calibri" w:hAnsi="Calibri"/>
          <w:color w:val="444444"/>
          <w:szCs w:val="15"/>
        </w:rPr>
        <w:t xml:space="preserve"> proceed. </w:t>
      </w:r>
    </w:p>
    <w:p w:rsidR="0069153C" w:rsidRDefault="0069153C">
      <w:pPr>
        <w:rPr>
          <w:rFonts w:ascii="Calibri" w:hAnsi="Calibri"/>
          <w:color w:val="444444"/>
          <w:szCs w:val="15"/>
        </w:rPr>
      </w:pPr>
    </w:p>
    <w:p w:rsidR="00291D0E" w:rsidRDefault="0069153C">
      <w:pPr>
        <w:rPr>
          <w:rFonts w:ascii="Calibri" w:hAnsi="Calibri"/>
          <w:color w:val="444444"/>
          <w:szCs w:val="15"/>
        </w:rPr>
      </w:pPr>
      <w:r>
        <w:rPr>
          <w:rFonts w:ascii="Calibri" w:hAnsi="Calibri"/>
          <w:color w:val="444444"/>
          <w:szCs w:val="15"/>
        </w:rPr>
        <w:t xml:space="preserve">  </w:t>
      </w:r>
      <w:r w:rsidR="001B76C4">
        <w:rPr>
          <w:rFonts w:ascii="Calibri" w:hAnsi="Calibri"/>
          <w:color w:val="444444"/>
          <w:szCs w:val="15"/>
        </w:rPr>
        <w:t xml:space="preserve"> </w:t>
      </w:r>
      <w:r>
        <w:rPr>
          <w:rFonts w:ascii="Calibri" w:hAnsi="Calibri"/>
          <w:color w:val="444444"/>
          <w:szCs w:val="15"/>
        </w:rPr>
        <w:t>The ZA’</w:t>
      </w:r>
      <w:r w:rsidR="00424B39">
        <w:rPr>
          <w:rFonts w:ascii="Calibri" w:hAnsi="Calibri"/>
          <w:color w:val="444444"/>
          <w:szCs w:val="15"/>
        </w:rPr>
        <w:t>s</w:t>
      </w:r>
      <w:r>
        <w:rPr>
          <w:rFonts w:ascii="Calibri" w:hAnsi="Calibri"/>
          <w:color w:val="444444"/>
          <w:szCs w:val="15"/>
        </w:rPr>
        <w:t xml:space="preserve"> findings discuss the fact that the </w:t>
      </w:r>
      <w:r w:rsidRPr="00291D0E">
        <w:rPr>
          <w:rFonts w:ascii="Calibri" w:hAnsi="Calibri"/>
          <w:color w:val="444444"/>
          <w:szCs w:val="15"/>
        </w:rPr>
        <w:t xml:space="preserve">sewage is </w:t>
      </w:r>
      <w:r w:rsidRPr="00291D0E">
        <w:rPr>
          <w:rFonts w:ascii="Calibri" w:hAnsi="Calibri"/>
          <w:b/>
          <w:color w:val="444444"/>
          <w:szCs w:val="15"/>
        </w:rPr>
        <w:t>proposed</w:t>
      </w:r>
      <w:r>
        <w:rPr>
          <w:rFonts w:ascii="Calibri" w:hAnsi="Calibri"/>
          <w:color w:val="444444"/>
          <w:szCs w:val="15"/>
        </w:rPr>
        <w:t xml:space="preserve"> to b</w:t>
      </w:r>
      <w:r w:rsidR="00424B39">
        <w:rPr>
          <w:rFonts w:ascii="Calibri" w:hAnsi="Calibri"/>
          <w:color w:val="444444"/>
          <w:szCs w:val="15"/>
        </w:rPr>
        <w:t>e run through the Malibu</w:t>
      </w:r>
      <w:r w:rsidR="005A655E">
        <w:rPr>
          <w:rFonts w:ascii="Calibri" w:hAnsi="Calibri"/>
          <w:color w:val="444444"/>
          <w:szCs w:val="15"/>
        </w:rPr>
        <w:t xml:space="preserve"> Bowl Mobile Estates property</w:t>
      </w:r>
      <w:r w:rsidR="0092015F">
        <w:rPr>
          <w:rFonts w:ascii="Calibri" w:hAnsi="Calibri"/>
          <w:color w:val="444444"/>
          <w:szCs w:val="15"/>
        </w:rPr>
        <w:t xml:space="preserve">, over the residents’ </w:t>
      </w:r>
      <w:r w:rsidR="00291D0E">
        <w:rPr>
          <w:rFonts w:ascii="Calibri" w:hAnsi="Calibri"/>
          <w:color w:val="444444"/>
          <w:szCs w:val="15"/>
        </w:rPr>
        <w:t xml:space="preserve">legal </w:t>
      </w:r>
      <w:r w:rsidR="0092015F">
        <w:rPr>
          <w:rFonts w:ascii="Calibri" w:hAnsi="Calibri"/>
          <w:color w:val="444444"/>
          <w:szCs w:val="15"/>
        </w:rPr>
        <w:t>objec</w:t>
      </w:r>
      <w:r w:rsidR="005A655E">
        <w:rPr>
          <w:rFonts w:ascii="Calibri" w:hAnsi="Calibri"/>
          <w:color w:val="444444"/>
          <w:szCs w:val="15"/>
        </w:rPr>
        <w:t>tion</w:t>
      </w:r>
      <w:r w:rsidR="00291D0E">
        <w:rPr>
          <w:rFonts w:ascii="Calibri" w:hAnsi="Calibri"/>
          <w:color w:val="444444"/>
          <w:szCs w:val="15"/>
        </w:rPr>
        <w:t>,</w:t>
      </w:r>
      <w:r w:rsidR="005A655E">
        <w:rPr>
          <w:rFonts w:ascii="Calibri" w:hAnsi="Calibri"/>
          <w:color w:val="444444"/>
          <w:szCs w:val="15"/>
        </w:rPr>
        <w:t xml:space="preserve"> </w:t>
      </w:r>
      <w:r w:rsidR="0092015F">
        <w:rPr>
          <w:rFonts w:ascii="Calibri" w:hAnsi="Calibri"/>
          <w:color w:val="444444"/>
          <w:szCs w:val="15"/>
        </w:rPr>
        <w:t xml:space="preserve">which the </w:t>
      </w:r>
      <w:proofErr w:type="gramStart"/>
      <w:r w:rsidR="0092015F">
        <w:rPr>
          <w:rFonts w:ascii="Calibri" w:hAnsi="Calibri"/>
          <w:color w:val="444444"/>
          <w:szCs w:val="15"/>
        </w:rPr>
        <w:t>ZA  says</w:t>
      </w:r>
      <w:proofErr w:type="gramEnd"/>
      <w:r w:rsidR="00291D0E">
        <w:rPr>
          <w:rFonts w:ascii="Calibri" w:hAnsi="Calibri"/>
          <w:color w:val="444444"/>
          <w:szCs w:val="15"/>
        </w:rPr>
        <w:t xml:space="preserve"> </w:t>
      </w:r>
      <w:r w:rsidR="0092015F">
        <w:rPr>
          <w:rFonts w:ascii="Calibri" w:hAnsi="Calibri"/>
          <w:color w:val="444444"/>
          <w:szCs w:val="15"/>
        </w:rPr>
        <w:t xml:space="preserve"> “is open to question wh</w:t>
      </w:r>
      <w:r w:rsidR="00424B39">
        <w:rPr>
          <w:rFonts w:ascii="Calibri" w:hAnsi="Calibri"/>
          <w:color w:val="444444"/>
          <w:szCs w:val="15"/>
        </w:rPr>
        <w:t>e</w:t>
      </w:r>
      <w:r w:rsidR="0092015F">
        <w:rPr>
          <w:rFonts w:ascii="Calibri" w:hAnsi="Calibri"/>
          <w:color w:val="444444"/>
          <w:szCs w:val="15"/>
        </w:rPr>
        <w:t>ther or not the Malibu Estates property owners have any veto power”</w:t>
      </w:r>
      <w:r w:rsidR="005A655E">
        <w:rPr>
          <w:rFonts w:ascii="Calibri" w:hAnsi="Calibri"/>
          <w:color w:val="444444"/>
          <w:szCs w:val="15"/>
        </w:rPr>
        <w:t xml:space="preserve"> due to public utility easements</w:t>
      </w:r>
      <w:r w:rsidR="0092015F">
        <w:rPr>
          <w:rFonts w:ascii="Calibri" w:hAnsi="Calibri"/>
          <w:color w:val="444444"/>
          <w:szCs w:val="15"/>
        </w:rPr>
        <w:t xml:space="preserve"> (page 20, Response), and that it is “dubious” that such connection is subject to </w:t>
      </w:r>
      <w:r w:rsidR="005A655E">
        <w:rPr>
          <w:rFonts w:ascii="Calibri" w:hAnsi="Calibri"/>
          <w:color w:val="444444"/>
          <w:szCs w:val="15"/>
        </w:rPr>
        <w:t xml:space="preserve">the property owners’ </w:t>
      </w:r>
      <w:r w:rsidR="0092015F">
        <w:rPr>
          <w:rFonts w:ascii="Calibri" w:hAnsi="Calibri"/>
          <w:color w:val="444444"/>
          <w:szCs w:val="15"/>
        </w:rPr>
        <w:t>veto. These questions, in other words, are not r</w:t>
      </w:r>
      <w:r w:rsidR="005A655E">
        <w:rPr>
          <w:rFonts w:ascii="Calibri" w:hAnsi="Calibri"/>
          <w:color w:val="444444"/>
          <w:szCs w:val="15"/>
        </w:rPr>
        <w:t>esolved, rather</w:t>
      </w:r>
      <w:r w:rsidR="00762DB9">
        <w:rPr>
          <w:rFonts w:ascii="Calibri" w:hAnsi="Calibri"/>
          <w:color w:val="444444"/>
          <w:szCs w:val="15"/>
        </w:rPr>
        <w:t>,</w:t>
      </w:r>
      <w:r w:rsidR="005A655E">
        <w:rPr>
          <w:rFonts w:ascii="Calibri" w:hAnsi="Calibri"/>
          <w:color w:val="444444"/>
          <w:szCs w:val="15"/>
        </w:rPr>
        <w:t xml:space="preserve"> they are still “o</w:t>
      </w:r>
      <w:r w:rsidR="0092015F">
        <w:rPr>
          <w:rFonts w:ascii="Calibri" w:hAnsi="Calibri"/>
          <w:color w:val="444444"/>
          <w:szCs w:val="15"/>
        </w:rPr>
        <w:t>pen to question” and the residents’ position is considered</w:t>
      </w:r>
      <w:r w:rsidR="00762DB9">
        <w:rPr>
          <w:rFonts w:ascii="Calibri" w:hAnsi="Calibri"/>
          <w:color w:val="444444"/>
          <w:szCs w:val="15"/>
        </w:rPr>
        <w:t xml:space="preserve"> by the ZA to be </w:t>
      </w:r>
      <w:r w:rsidR="0092015F">
        <w:rPr>
          <w:rFonts w:ascii="Calibri" w:hAnsi="Calibri"/>
          <w:color w:val="444444"/>
          <w:szCs w:val="15"/>
        </w:rPr>
        <w:t xml:space="preserve"> “dubious”.</w:t>
      </w:r>
      <w:r w:rsidR="00291D0E">
        <w:rPr>
          <w:rFonts w:ascii="Calibri" w:hAnsi="Calibri"/>
          <w:color w:val="444444"/>
          <w:szCs w:val="15"/>
        </w:rPr>
        <w:t xml:space="preserve"> The ZA has not presented any opinion by the City Attorney that supports his casual</w:t>
      </w:r>
      <w:r w:rsidR="00762DB9">
        <w:rPr>
          <w:rFonts w:ascii="Calibri" w:hAnsi="Calibri"/>
          <w:color w:val="444444"/>
          <w:szCs w:val="15"/>
        </w:rPr>
        <w:t xml:space="preserve"> and somewhat pejorative</w:t>
      </w:r>
      <w:r w:rsidR="00291D0E">
        <w:rPr>
          <w:rFonts w:ascii="Calibri" w:hAnsi="Calibri"/>
          <w:color w:val="444444"/>
          <w:szCs w:val="15"/>
        </w:rPr>
        <w:t xml:space="preserve"> claim </w:t>
      </w:r>
      <w:r w:rsidR="00762DB9">
        <w:rPr>
          <w:rFonts w:ascii="Calibri" w:hAnsi="Calibri"/>
          <w:color w:val="444444"/>
          <w:szCs w:val="15"/>
        </w:rPr>
        <w:t xml:space="preserve">that </w:t>
      </w:r>
      <w:r w:rsidR="00291D0E">
        <w:rPr>
          <w:rFonts w:ascii="Calibri" w:hAnsi="Calibri"/>
          <w:color w:val="444444"/>
          <w:szCs w:val="15"/>
        </w:rPr>
        <w:t>th</w:t>
      </w:r>
      <w:r w:rsidR="00762DB9">
        <w:rPr>
          <w:rFonts w:ascii="Calibri" w:hAnsi="Calibri"/>
          <w:color w:val="444444"/>
          <w:szCs w:val="15"/>
        </w:rPr>
        <w:t>e residents’ legal position is dubious</w:t>
      </w:r>
      <w:r w:rsidR="00291D0E">
        <w:rPr>
          <w:rFonts w:ascii="Calibri" w:hAnsi="Calibri"/>
          <w:color w:val="444444"/>
          <w:szCs w:val="15"/>
        </w:rPr>
        <w:t xml:space="preserve">. Thus, it is not clear from the record how the sewage will ultimately be handled and whether any alternative is feasible should the residents’ position be correct. </w:t>
      </w:r>
      <w:r w:rsidR="0092015F">
        <w:rPr>
          <w:rFonts w:ascii="Calibri" w:hAnsi="Calibri"/>
          <w:color w:val="444444"/>
          <w:szCs w:val="15"/>
        </w:rPr>
        <w:t xml:space="preserve"> The project should not, then, have been approved u</w:t>
      </w:r>
      <w:r w:rsidR="005A655E">
        <w:rPr>
          <w:rFonts w:ascii="Calibri" w:hAnsi="Calibri"/>
          <w:color w:val="444444"/>
          <w:szCs w:val="15"/>
        </w:rPr>
        <w:t>ntil these questions were ful</w:t>
      </w:r>
      <w:r w:rsidR="0092015F">
        <w:rPr>
          <w:rFonts w:ascii="Calibri" w:hAnsi="Calibri"/>
          <w:color w:val="444444"/>
          <w:szCs w:val="15"/>
        </w:rPr>
        <w:t xml:space="preserve">ly determined and the definitive manner of sewage disposal was made a </w:t>
      </w:r>
      <w:r w:rsidR="005A655E">
        <w:rPr>
          <w:rFonts w:ascii="Calibri" w:hAnsi="Calibri"/>
          <w:color w:val="444444"/>
          <w:szCs w:val="15"/>
        </w:rPr>
        <w:t>condition of the project</w:t>
      </w:r>
      <w:r w:rsidR="0092015F">
        <w:rPr>
          <w:rFonts w:ascii="Calibri" w:hAnsi="Calibri"/>
          <w:color w:val="444444"/>
          <w:szCs w:val="15"/>
        </w:rPr>
        <w:t>.</w:t>
      </w:r>
      <w:r w:rsidR="00291D0E">
        <w:rPr>
          <w:rFonts w:ascii="Calibri" w:hAnsi="Calibri"/>
          <w:color w:val="444444"/>
          <w:szCs w:val="15"/>
        </w:rPr>
        <w:t xml:space="preserve"> Once again, an EIR would have fully explored this issue and studied the alternatives in great detail.</w:t>
      </w:r>
    </w:p>
    <w:p w:rsidR="00291D0E" w:rsidRDefault="00291D0E">
      <w:pPr>
        <w:rPr>
          <w:rFonts w:ascii="Calibri" w:hAnsi="Calibri"/>
          <w:color w:val="444444"/>
          <w:szCs w:val="15"/>
        </w:rPr>
      </w:pPr>
    </w:p>
    <w:p w:rsidR="00291D0E" w:rsidRDefault="00CA0F15">
      <w:pPr>
        <w:rPr>
          <w:rFonts w:ascii="Calibri" w:hAnsi="Calibri"/>
          <w:color w:val="444444"/>
          <w:szCs w:val="15"/>
        </w:rPr>
      </w:pPr>
      <w:r>
        <w:rPr>
          <w:rFonts w:ascii="Calibri" w:hAnsi="Calibri"/>
          <w:b/>
          <w:color w:val="444444"/>
          <w:szCs w:val="15"/>
        </w:rPr>
        <w:t xml:space="preserve">    </w:t>
      </w:r>
      <w:r w:rsidR="00291D0E" w:rsidRPr="00291D0E">
        <w:rPr>
          <w:rFonts w:ascii="Calibri" w:hAnsi="Calibri"/>
          <w:b/>
          <w:color w:val="444444"/>
          <w:szCs w:val="15"/>
        </w:rPr>
        <w:t xml:space="preserve">Cumulative Impact Analysis is </w:t>
      </w:r>
      <w:proofErr w:type="gramStart"/>
      <w:r w:rsidR="00291D0E" w:rsidRPr="00291D0E">
        <w:rPr>
          <w:rFonts w:ascii="Calibri" w:hAnsi="Calibri"/>
          <w:b/>
          <w:color w:val="444444"/>
          <w:szCs w:val="15"/>
        </w:rPr>
        <w:t>Absent</w:t>
      </w:r>
      <w:proofErr w:type="gramEnd"/>
      <w:r w:rsidR="00291D0E">
        <w:rPr>
          <w:rFonts w:ascii="Calibri" w:hAnsi="Calibri"/>
          <w:color w:val="444444"/>
          <w:szCs w:val="15"/>
        </w:rPr>
        <w:t>. The city Zoning Administrator previously approved a 49-unit project at the Coaloa site just west of this site, and the Zoning Administrator’s office is charged with up-to-date- information on the sta</w:t>
      </w:r>
      <w:r w:rsidR="000D4DAA">
        <w:rPr>
          <w:rFonts w:ascii="Calibri" w:hAnsi="Calibri"/>
          <w:color w:val="444444"/>
          <w:szCs w:val="15"/>
        </w:rPr>
        <w:t>t</w:t>
      </w:r>
      <w:r w:rsidR="00291D0E">
        <w:rPr>
          <w:rFonts w:ascii="Calibri" w:hAnsi="Calibri"/>
          <w:color w:val="444444"/>
          <w:szCs w:val="15"/>
        </w:rPr>
        <w:t>us of that project. If it has been completely abandoned, then this should be made known. If, on the other hand, there have been ongoing discussions between the applicant and the city with the intent to bring the project forward in some alternate proposal, or even the same pro</w:t>
      </w:r>
      <w:r w:rsidR="00E20458">
        <w:rPr>
          <w:rFonts w:ascii="Calibri" w:hAnsi="Calibri"/>
          <w:color w:val="444444"/>
          <w:szCs w:val="15"/>
        </w:rPr>
        <w:t>p</w:t>
      </w:r>
      <w:r w:rsidR="00291D0E">
        <w:rPr>
          <w:rFonts w:ascii="Calibri" w:hAnsi="Calibri"/>
          <w:color w:val="444444"/>
          <w:szCs w:val="15"/>
        </w:rPr>
        <w:t>osal under a focused EIR in compliance with this Commission’s decision, then that information should also be made publ</w:t>
      </w:r>
      <w:r w:rsidR="00E20458">
        <w:rPr>
          <w:rFonts w:ascii="Calibri" w:hAnsi="Calibri"/>
          <w:color w:val="444444"/>
          <w:szCs w:val="15"/>
        </w:rPr>
        <w:t>i</w:t>
      </w:r>
      <w:r w:rsidR="00291D0E">
        <w:rPr>
          <w:rFonts w:ascii="Calibri" w:hAnsi="Calibri"/>
          <w:color w:val="444444"/>
          <w:szCs w:val="15"/>
        </w:rPr>
        <w:t xml:space="preserve">c by way of a </w:t>
      </w:r>
      <w:r w:rsidR="00291D0E" w:rsidRPr="00E20458">
        <w:rPr>
          <w:rFonts w:ascii="Calibri" w:hAnsi="Calibri"/>
          <w:b/>
          <w:color w:val="444444"/>
          <w:szCs w:val="15"/>
        </w:rPr>
        <w:t>potential cumulative impact analysis</w:t>
      </w:r>
      <w:r w:rsidR="00291D0E">
        <w:rPr>
          <w:rFonts w:ascii="Calibri" w:hAnsi="Calibri"/>
          <w:color w:val="444444"/>
          <w:szCs w:val="15"/>
        </w:rPr>
        <w:t xml:space="preserve"> on coa</w:t>
      </w:r>
      <w:r w:rsidR="000D4DAA">
        <w:rPr>
          <w:rFonts w:ascii="Calibri" w:hAnsi="Calibri"/>
          <w:color w:val="444444"/>
          <w:szCs w:val="15"/>
        </w:rPr>
        <w:t>stal views, traffic, hydrology,</w:t>
      </w:r>
      <w:r w:rsidR="00E20458">
        <w:rPr>
          <w:rFonts w:ascii="Calibri" w:hAnsi="Calibri"/>
          <w:color w:val="444444"/>
          <w:szCs w:val="15"/>
        </w:rPr>
        <w:t xml:space="preserve"> emergency access, and related issues. The California Supreme Court has ruled very clearly that when a public agency has knowledge of future plans for likely development, it cannot ignore the cumul</w:t>
      </w:r>
      <w:r w:rsidR="009C7F2D">
        <w:rPr>
          <w:rFonts w:ascii="Calibri" w:hAnsi="Calibri"/>
          <w:color w:val="444444"/>
          <w:szCs w:val="15"/>
        </w:rPr>
        <w:t xml:space="preserve">ative impacts that may ensue, </w:t>
      </w:r>
      <w:r w:rsidR="00E20458">
        <w:rPr>
          <w:rFonts w:ascii="Calibri" w:hAnsi="Calibri"/>
          <w:color w:val="444444"/>
          <w:szCs w:val="15"/>
        </w:rPr>
        <w:t xml:space="preserve">by isolating and studying in the CEQA review process only the singular project which has been made public by a formal application for approval. </w:t>
      </w:r>
      <w:r w:rsidR="00E20458" w:rsidRPr="009C7F2D">
        <w:rPr>
          <w:rFonts w:ascii="Calibri" w:hAnsi="Calibri"/>
          <w:i/>
          <w:color w:val="444444"/>
          <w:szCs w:val="15"/>
        </w:rPr>
        <w:t>See</w:t>
      </w:r>
      <w:r w:rsidR="00D45260">
        <w:rPr>
          <w:rFonts w:ascii="Calibri" w:hAnsi="Calibri"/>
          <w:color w:val="444444"/>
          <w:szCs w:val="15"/>
        </w:rPr>
        <w:t xml:space="preserve">, </w:t>
      </w:r>
      <w:r w:rsidR="00D45260" w:rsidRPr="009C7F2D">
        <w:rPr>
          <w:rFonts w:ascii="Calibri" w:hAnsi="Calibri"/>
          <w:i/>
          <w:color w:val="444444"/>
          <w:szCs w:val="15"/>
        </w:rPr>
        <w:t>Laurel Heights Improvement Ass’n v. Regents of the University of California</w:t>
      </w:r>
      <w:r w:rsidR="00D45260">
        <w:rPr>
          <w:rFonts w:ascii="Calibri" w:hAnsi="Calibri"/>
          <w:color w:val="444444"/>
          <w:szCs w:val="15"/>
        </w:rPr>
        <w:t xml:space="preserve"> (1988) 47 Cal. 3d 376.</w:t>
      </w:r>
      <w:r w:rsidR="000D4DAA">
        <w:rPr>
          <w:rFonts w:ascii="Calibri" w:hAnsi="Calibri"/>
          <w:color w:val="444444"/>
          <w:szCs w:val="15"/>
        </w:rPr>
        <w:t xml:space="preserve"> Although in that case</w:t>
      </w:r>
      <w:r w:rsidR="009C7F2D">
        <w:rPr>
          <w:rFonts w:ascii="Calibri" w:hAnsi="Calibri"/>
          <w:color w:val="444444"/>
          <w:szCs w:val="15"/>
        </w:rPr>
        <w:t xml:space="preserve"> the future development was under the control of the same entity</w:t>
      </w:r>
      <w:r w:rsidR="000D4DAA">
        <w:rPr>
          <w:rFonts w:ascii="Calibri" w:hAnsi="Calibri"/>
          <w:color w:val="444444"/>
          <w:szCs w:val="15"/>
        </w:rPr>
        <w:t xml:space="preserve"> as the one being reviewed</w:t>
      </w:r>
      <w:r w:rsidR="009C7F2D">
        <w:rPr>
          <w:rFonts w:ascii="Calibri" w:hAnsi="Calibri"/>
          <w:color w:val="444444"/>
          <w:szCs w:val="15"/>
        </w:rPr>
        <w:t xml:space="preserve"> (Regents of UC), it makes little difference that two projects are under separate ownership where they are literally blocks apart and both utilize the same geotechnical consult</w:t>
      </w:r>
      <w:r w:rsidR="000D4DAA">
        <w:rPr>
          <w:rFonts w:ascii="Calibri" w:hAnsi="Calibri"/>
          <w:color w:val="444444"/>
          <w:szCs w:val="15"/>
        </w:rPr>
        <w:t>ant</w:t>
      </w:r>
      <w:r w:rsidR="00A67476">
        <w:rPr>
          <w:rFonts w:ascii="Calibri" w:hAnsi="Calibri"/>
          <w:color w:val="444444"/>
          <w:szCs w:val="15"/>
        </w:rPr>
        <w:t xml:space="preserve"> for analysis of critical issues such as geologic instabi</w:t>
      </w:r>
      <w:r w:rsidR="009C7F2D">
        <w:rPr>
          <w:rFonts w:ascii="Calibri" w:hAnsi="Calibri"/>
          <w:color w:val="444444"/>
          <w:szCs w:val="15"/>
        </w:rPr>
        <w:t>lity and</w:t>
      </w:r>
      <w:r w:rsidR="00A67476">
        <w:rPr>
          <w:rFonts w:ascii="Calibri" w:hAnsi="Calibri"/>
          <w:color w:val="444444"/>
          <w:szCs w:val="15"/>
        </w:rPr>
        <w:t xml:space="preserve"> </w:t>
      </w:r>
      <w:r w:rsidR="000D4DAA">
        <w:rPr>
          <w:rFonts w:ascii="Calibri" w:hAnsi="Calibri"/>
          <w:color w:val="444444"/>
          <w:szCs w:val="15"/>
        </w:rPr>
        <w:t>potential hydrogen</w:t>
      </w:r>
      <w:r w:rsidR="009C7F2D">
        <w:rPr>
          <w:rFonts w:ascii="Calibri" w:hAnsi="Calibri"/>
          <w:color w:val="444444"/>
          <w:szCs w:val="15"/>
        </w:rPr>
        <w:t xml:space="preserve"> sulfide </w:t>
      </w:r>
      <w:r w:rsidR="00A67476">
        <w:rPr>
          <w:rFonts w:ascii="Calibri" w:hAnsi="Calibri"/>
          <w:color w:val="444444"/>
          <w:szCs w:val="15"/>
        </w:rPr>
        <w:t xml:space="preserve">occurrence. </w:t>
      </w:r>
      <w:r w:rsidR="000D4DAA">
        <w:rPr>
          <w:rFonts w:ascii="Calibri" w:hAnsi="Calibri"/>
          <w:color w:val="444444"/>
          <w:szCs w:val="15"/>
        </w:rPr>
        <w:t>The City is the entity charged with knowledge of the cumulative impacts to be disclosed and mitigated.</w:t>
      </w:r>
    </w:p>
    <w:p w:rsidR="0069153C" w:rsidRDefault="0069153C">
      <w:pPr>
        <w:rPr>
          <w:rFonts w:ascii="Calibri" w:hAnsi="Calibri"/>
          <w:color w:val="444444"/>
          <w:szCs w:val="15"/>
        </w:rPr>
      </w:pPr>
    </w:p>
    <w:p w:rsidR="009F613B" w:rsidRDefault="00CA0F15">
      <w:pPr>
        <w:rPr>
          <w:rFonts w:ascii="Calibri" w:hAnsi="Calibri"/>
          <w:color w:val="444444"/>
          <w:szCs w:val="15"/>
        </w:rPr>
      </w:pPr>
      <w:r>
        <w:rPr>
          <w:rFonts w:ascii="Calibri" w:hAnsi="Calibri"/>
          <w:color w:val="444444"/>
          <w:szCs w:val="15"/>
        </w:rPr>
        <w:t xml:space="preserve">    </w:t>
      </w:r>
      <w:r w:rsidR="003F7B3A">
        <w:rPr>
          <w:rFonts w:ascii="Calibri" w:hAnsi="Calibri"/>
          <w:color w:val="444444"/>
          <w:szCs w:val="15"/>
        </w:rPr>
        <w:t xml:space="preserve">There is a reason why the review process includes volunteer citizens on </w:t>
      </w:r>
      <w:r w:rsidR="001B76C4">
        <w:rPr>
          <w:rFonts w:ascii="Calibri" w:hAnsi="Calibri"/>
          <w:color w:val="444444"/>
          <w:szCs w:val="15"/>
        </w:rPr>
        <w:t xml:space="preserve">the </w:t>
      </w:r>
      <w:r w:rsidR="003F7B3A">
        <w:rPr>
          <w:rFonts w:ascii="Calibri" w:hAnsi="Calibri"/>
          <w:color w:val="444444"/>
          <w:szCs w:val="15"/>
        </w:rPr>
        <w:t xml:space="preserve">Area Planning Commission, to oversee and inject common sense into city approvals that </w:t>
      </w:r>
      <w:r w:rsidR="00762DB9">
        <w:rPr>
          <w:rFonts w:ascii="Calibri" w:hAnsi="Calibri"/>
          <w:color w:val="444444"/>
          <w:szCs w:val="15"/>
        </w:rPr>
        <w:t xml:space="preserve">sometimes </w:t>
      </w:r>
      <w:r w:rsidR="003F7B3A">
        <w:rPr>
          <w:rFonts w:ascii="Calibri" w:hAnsi="Calibri"/>
          <w:color w:val="444444"/>
          <w:szCs w:val="15"/>
        </w:rPr>
        <w:t>seem to go by rote formulae.</w:t>
      </w:r>
      <w:r w:rsidR="0069153C">
        <w:rPr>
          <w:rFonts w:ascii="Calibri" w:hAnsi="Calibri"/>
          <w:color w:val="444444"/>
          <w:szCs w:val="15"/>
        </w:rPr>
        <w:t xml:space="preserve"> </w:t>
      </w:r>
      <w:r w:rsidR="003F7B3A">
        <w:rPr>
          <w:rFonts w:ascii="Calibri" w:hAnsi="Calibri"/>
          <w:color w:val="444444"/>
          <w:szCs w:val="15"/>
        </w:rPr>
        <w:t>The APC should require the same degree of information for this project as it did for the Coaloa proje</w:t>
      </w:r>
      <w:r w:rsidR="00291D0E">
        <w:rPr>
          <w:rFonts w:ascii="Calibri" w:hAnsi="Calibri"/>
          <w:color w:val="444444"/>
          <w:szCs w:val="15"/>
        </w:rPr>
        <w:t>c</w:t>
      </w:r>
      <w:r w:rsidR="003F7B3A">
        <w:rPr>
          <w:rFonts w:ascii="Calibri" w:hAnsi="Calibri"/>
          <w:color w:val="444444"/>
          <w:szCs w:val="15"/>
        </w:rPr>
        <w:t>t</w:t>
      </w:r>
      <w:r w:rsidR="000D4DAA">
        <w:rPr>
          <w:rFonts w:ascii="Calibri" w:hAnsi="Calibri"/>
          <w:color w:val="444444"/>
          <w:szCs w:val="15"/>
        </w:rPr>
        <w:t xml:space="preserve"> notwithstanding the ZA approval.</w:t>
      </w:r>
      <w:r w:rsidR="00291D0E">
        <w:rPr>
          <w:rFonts w:ascii="Calibri" w:hAnsi="Calibri"/>
          <w:color w:val="444444"/>
          <w:szCs w:val="15"/>
        </w:rPr>
        <w:t xml:space="preserve"> </w:t>
      </w:r>
      <w:r w:rsidR="00762DB9">
        <w:rPr>
          <w:rFonts w:ascii="Calibri" w:hAnsi="Calibri"/>
          <w:color w:val="444444"/>
          <w:szCs w:val="15"/>
        </w:rPr>
        <w:t xml:space="preserve"> </w:t>
      </w:r>
      <w:r w:rsidR="009F613B" w:rsidRPr="000D4DAA">
        <w:rPr>
          <w:rFonts w:ascii="Calibri" w:hAnsi="Calibri"/>
          <w:b/>
          <w:color w:val="444444"/>
          <w:szCs w:val="15"/>
        </w:rPr>
        <w:t>All of the issues should be fully vetted through the EIR process before</w:t>
      </w:r>
      <w:r w:rsidR="00762DB9" w:rsidRPr="000D4DAA">
        <w:rPr>
          <w:rFonts w:ascii="Calibri" w:hAnsi="Calibri"/>
          <w:b/>
          <w:color w:val="444444"/>
          <w:szCs w:val="15"/>
        </w:rPr>
        <w:t xml:space="preserve"> any decision is made </w:t>
      </w:r>
      <w:r w:rsidR="001B76C4" w:rsidRPr="000D4DAA">
        <w:rPr>
          <w:rFonts w:ascii="Calibri" w:hAnsi="Calibri"/>
          <w:b/>
          <w:color w:val="444444"/>
          <w:szCs w:val="15"/>
        </w:rPr>
        <w:t xml:space="preserve">as to </w:t>
      </w:r>
      <w:r w:rsidR="000D4DAA">
        <w:rPr>
          <w:rFonts w:ascii="Calibri" w:hAnsi="Calibri"/>
          <w:b/>
          <w:color w:val="444444"/>
          <w:szCs w:val="15"/>
        </w:rPr>
        <w:t>whether or not</w:t>
      </w:r>
      <w:r w:rsidR="009F613B" w:rsidRPr="000D4DAA">
        <w:rPr>
          <w:rFonts w:ascii="Calibri" w:hAnsi="Calibri"/>
          <w:b/>
          <w:color w:val="444444"/>
          <w:szCs w:val="15"/>
        </w:rPr>
        <w:t xml:space="preserve"> this project can be built </w:t>
      </w:r>
      <w:r w:rsidR="003F7B3A" w:rsidRPr="000D4DAA">
        <w:rPr>
          <w:rFonts w:ascii="Calibri" w:hAnsi="Calibri"/>
          <w:b/>
          <w:i/>
          <w:color w:val="444444"/>
          <w:szCs w:val="15"/>
        </w:rPr>
        <w:t>at all</w:t>
      </w:r>
      <w:r w:rsidR="009F613B" w:rsidRPr="000D4DAA">
        <w:rPr>
          <w:rFonts w:ascii="Calibri" w:hAnsi="Calibri"/>
          <w:b/>
          <w:color w:val="444444"/>
          <w:szCs w:val="15"/>
        </w:rPr>
        <w:t>.</w:t>
      </w:r>
    </w:p>
    <w:p w:rsidR="00CA0F15" w:rsidRDefault="00CA0F15">
      <w:pPr>
        <w:rPr>
          <w:rFonts w:ascii="Calibri" w:hAnsi="Calibri"/>
          <w:color w:val="444444"/>
          <w:szCs w:val="15"/>
        </w:rPr>
      </w:pPr>
    </w:p>
    <w:p w:rsidR="000D4DAA" w:rsidRDefault="00CA0F15">
      <w:pPr>
        <w:rPr>
          <w:rFonts w:ascii="Calibri" w:hAnsi="Calibri"/>
          <w:color w:val="444444"/>
          <w:szCs w:val="15"/>
        </w:rPr>
      </w:pPr>
      <w:r>
        <w:rPr>
          <w:rFonts w:ascii="Calibri" w:hAnsi="Calibri"/>
          <w:color w:val="444444"/>
          <w:szCs w:val="15"/>
        </w:rPr>
        <w:t>Respectfully submitted,</w:t>
      </w:r>
    </w:p>
    <w:p w:rsidR="00D969E5" w:rsidRDefault="00D969E5">
      <w:pPr>
        <w:rPr>
          <w:rFonts w:ascii="Calibri" w:hAnsi="Calibri"/>
          <w:color w:val="444444"/>
          <w:szCs w:val="15"/>
        </w:rPr>
      </w:pPr>
    </w:p>
    <w:p w:rsidR="00CA0F15" w:rsidRDefault="00CA0F15">
      <w:pPr>
        <w:rPr>
          <w:rFonts w:ascii="Calibri" w:hAnsi="Calibri"/>
          <w:color w:val="444444"/>
          <w:szCs w:val="15"/>
        </w:rPr>
      </w:pPr>
    </w:p>
    <w:p w:rsidR="00350B3C" w:rsidRDefault="000D4DAA">
      <w:r>
        <w:rPr>
          <w:rFonts w:ascii="Calibri" w:hAnsi="Calibri"/>
          <w:color w:val="444444"/>
          <w:szCs w:val="15"/>
        </w:rPr>
        <w:t>John B. Murdock</w:t>
      </w:r>
    </w:p>
    <w:sectPr w:rsidR="00350B3C" w:rsidSect="00B92AAC">
      <w:footerReference w:type="even" r:id="rId5"/>
      <w:footerReference w:type="default" r:id="rId6"/>
      <w:pgSz w:w="12240" w:h="15840"/>
      <w:pgMar w:top="1440" w:right="1800" w:bottom="1440" w:left="1800" w:gutter="0"/>
      <w:titlePg/>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DAA" w:rsidRDefault="000D4DAA" w:rsidP="00B92A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D4DAA" w:rsidRDefault="000D4DAA">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DAA" w:rsidRDefault="000D4DAA" w:rsidP="00B92A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90AA0">
      <w:rPr>
        <w:rStyle w:val="PageNumber"/>
        <w:noProof/>
      </w:rPr>
      <w:t>8</w:t>
    </w:r>
    <w:r>
      <w:rPr>
        <w:rStyle w:val="PageNumber"/>
      </w:rPr>
      <w:fldChar w:fldCharType="end"/>
    </w:r>
  </w:p>
  <w:p w:rsidR="000D4DAA" w:rsidRDefault="000D4DAA">
    <w:pPr>
      <w:pStyle w:val="Footer"/>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9F2949"/>
    <w:multiLevelType w:val="hybridMultilevel"/>
    <w:tmpl w:val="DF566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3CF5963"/>
    <w:multiLevelType w:val="hybridMultilevel"/>
    <w:tmpl w:val="AA642FAE"/>
    <w:lvl w:ilvl="0" w:tplc="4CB049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5419C"/>
  </w:rsids>
  <m:mathPr>
    <m:mathFont m:val="Helvetica Neu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17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65419C"/>
    <w:pPr>
      <w:spacing w:beforeLines="1" w:afterLines="1"/>
    </w:pPr>
    <w:rPr>
      <w:rFonts w:ascii="Times" w:hAnsi="Times" w:cs="Times New Roman"/>
      <w:sz w:val="20"/>
      <w:szCs w:val="20"/>
    </w:rPr>
  </w:style>
  <w:style w:type="paragraph" w:styleId="Footer">
    <w:name w:val="footer"/>
    <w:basedOn w:val="Normal"/>
    <w:link w:val="FooterChar"/>
    <w:uiPriority w:val="99"/>
    <w:semiHidden/>
    <w:unhideWhenUsed/>
    <w:rsid w:val="0006525A"/>
    <w:pPr>
      <w:tabs>
        <w:tab w:val="center" w:pos="4320"/>
        <w:tab w:val="right" w:pos="8640"/>
      </w:tabs>
    </w:pPr>
  </w:style>
  <w:style w:type="character" w:customStyle="1" w:styleId="FooterChar">
    <w:name w:val="Footer Char"/>
    <w:basedOn w:val="DefaultParagraphFont"/>
    <w:link w:val="Footer"/>
    <w:uiPriority w:val="99"/>
    <w:semiHidden/>
    <w:rsid w:val="0006525A"/>
  </w:style>
  <w:style w:type="character" w:styleId="PageNumber">
    <w:name w:val="page number"/>
    <w:basedOn w:val="DefaultParagraphFont"/>
    <w:uiPriority w:val="99"/>
    <w:semiHidden/>
    <w:unhideWhenUsed/>
    <w:rsid w:val="0006525A"/>
  </w:style>
  <w:style w:type="character" w:customStyle="1" w:styleId="apple-converted-space">
    <w:name w:val="apple-converted-space"/>
    <w:basedOn w:val="DefaultParagraphFont"/>
    <w:rsid w:val="006A1754"/>
  </w:style>
  <w:style w:type="character" w:styleId="Hyperlink">
    <w:name w:val="Hyperlink"/>
    <w:basedOn w:val="DefaultParagraphFont"/>
    <w:uiPriority w:val="99"/>
    <w:rsid w:val="006A1754"/>
    <w:rPr>
      <w:color w:val="0000FF"/>
      <w:u w:val="single"/>
    </w:rPr>
  </w:style>
  <w:style w:type="paragraph" w:customStyle="1" w:styleId="ecxmsonormal">
    <w:name w:val="ecxmsonormal"/>
    <w:basedOn w:val="Normal"/>
    <w:rsid w:val="00CA6F88"/>
    <w:pPr>
      <w:spacing w:beforeLines="1" w:afterLines="1"/>
    </w:pPr>
    <w:rPr>
      <w:rFonts w:ascii="Times" w:hAnsi="Times"/>
      <w:sz w:val="20"/>
      <w:szCs w:val="20"/>
    </w:rPr>
  </w:style>
  <w:style w:type="paragraph" w:styleId="ListParagraph">
    <w:name w:val="List Paragraph"/>
    <w:basedOn w:val="Normal"/>
    <w:uiPriority w:val="34"/>
    <w:qFormat/>
    <w:rsid w:val="00585207"/>
    <w:pPr>
      <w:ind w:left="720"/>
      <w:contextualSpacing/>
    </w:pPr>
  </w:style>
  <w:style w:type="paragraph" w:styleId="Header">
    <w:name w:val="header"/>
    <w:basedOn w:val="Normal"/>
    <w:link w:val="HeaderChar"/>
    <w:rsid w:val="00F6102E"/>
    <w:pPr>
      <w:tabs>
        <w:tab w:val="center" w:pos="4320"/>
        <w:tab w:val="right" w:pos="8640"/>
      </w:tabs>
      <w:overflowPunct w:val="0"/>
      <w:autoSpaceDE w:val="0"/>
      <w:autoSpaceDN w:val="0"/>
      <w:adjustRightInd w:val="0"/>
      <w:textAlignment w:val="baseline"/>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F6102E"/>
    <w:rPr>
      <w:rFonts w:ascii="Times New Roman" w:eastAsia="Times New Roman" w:hAnsi="Times New Roman" w:cs="Times New Roman"/>
      <w:sz w:val="20"/>
      <w:szCs w:val="20"/>
    </w:rPr>
  </w:style>
  <w:style w:type="paragraph" w:styleId="FootnoteText">
    <w:name w:val="footnote text"/>
    <w:basedOn w:val="Normal"/>
    <w:link w:val="FootnoteTextChar"/>
    <w:uiPriority w:val="99"/>
    <w:semiHidden/>
    <w:unhideWhenUsed/>
    <w:rsid w:val="004E232A"/>
  </w:style>
  <w:style w:type="character" w:customStyle="1" w:styleId="FootnoteTextChar">
    <w:name w:val="Footnote Text Char"/>
    <w:basedOn w:val="DefaultParagraphFont"/>
    <w:link w:val="FootnoteText"/>
    <w:uiPriority w:val="99"/>
    <w:semiHidden/>
    <w:rsid w:val="004E232A"/>
  </w:style>
  <w:style w:type="character" w:styleId="FootnoteReference">
    <w:name w:val="footnote reference"/>
    <w:basedOn w:val="DefaultParagraphFont"/>
    <w:uiPriority w:val="99"/>
    <w:semiHidden/>
    <w:unhideWhenUsed/>
    <w:rsid w:val="004E232A"/>
    <w:rPr>
      <w:vertAlign w:val="superscript"/>
    </w:rPr>
  </w:style>
</w:styles>
</file>

<file path=word/webSettings.xml><?xml version="1.0" encoding="utf-8"?>
<w:webSettings xmlns:r="http://schemas.openxmlformats.org/officeDocument/2006/relationships" xmlns:w="http://schemas.openxmlformats.org/wordprocessingml/2006/main">
  <w:divs>
    <w:div w:id="54399772">
      <w:bodyDiv w:val="1"/>
      <w:marLeft w:val="0"/>
      <w:marRight w:val="0"/>
      <w:marTop w:val="0"/>
      <w:marBottom w:val="0"/>
      <w:divBdr>
        <w:top w:val="none" w:sz="0" w:space="0" w:color="auto"/>
        <w:left w:val="none" w:sz="0" w:space="0" w:color="auto"/>
        <w:bottom w:val="none" w:sz="0" w:space="0" w:color="auto"/>
        <w:right w:val="none" w:sz="0" w:space="0" w:color="auto"/>
      </w:divBdr>
    </w:div>
    <w:div w:id="128481991">
      <w:bodyDiv w:val="1"/>
      <w:marLeft w:val="0"/>
      <w:marRight w:val="0"/>
      <w:marTop w:val="0"/>
      <w:marBottom w:val="0"/>
      <w:divBdr>
        <w:top w:val="none" w:sz="0" w:space="0" w:color="auto"/>
        <w:left w:val="none" w:sz="0" w:space="0" w:color="auto"/>
        <w:bottom w:val="none" w:sz="0" w:space="0" w:color="auto"/>
        <w:right w:val="none" w:sz="0" w:space="0" w:color="auto"/>
      </w:divBdr>
    </w:div>
    <w:div w:id="137654034">
      <w:bodyDiv w:val="1"/>
      <w:marLeft w:val="0"/>
      <w:marRight w:val="0"/>
      <w:marTop w:val="0"/>
      <w:marBottom w:val="0"/>
      <w:divBdr>
        <w:top w:val="none" w:sz="0" w:space="0" w:color="auto"/>
        <w:left w:val="none" w:sz="0" w:space="0" w:color="auto"/>
        <w:bottom w:val="none" w:sz="0" w:space="0" w:color="auto"/>
        <w:right w:val="none" w:sz="0" w:space="0" w:color="auto"/>
      </w:divBdr>
      <w:divsChild>
        <w:div w:id="299266722">
          <w:marLeft w:val="0"/>
          <w:marRight w:val="0"/>
          <w:marTop w:val="0"/>
          <w:marBottom w:val="0"/>
          <w:divBdr>
            <w:top w:val="none" w:sz="0" w:space="0" w:color="auto"/>
            <w:left w:val="none" w:sz="0" w:space="0" w:color="auto"/>
            <w:bottom w:val="none" w:sz="0" w:space="0" w:color="auto"/>
            <w:right w:val="none" w:sz="0" w:space="0" w:color="auto"/>
          </w:divBdr>
        </w:div>
        <w:div w:id="1250165060">
          <w:marLeft w:val="0"/>
          <w:marRight w:val="0"/>
          <w:marTop w:val="0"/>
          <w:marBottom w:val="0"/>
          <w:divBdr>
            <w:top w:val="none" w:sz="0" w:space="0" w:color="auto"/>
            <w:left w:val="none" w:sz="0" w:space="0" w:color="auto"/>
            <w:bottom w:val="none" w:sz="0" w:space="0" w:color="auto"/>
            <w:right w:val="none" w:sz="0" w:space="0" w:color="auto"/>
          </w:divBdr>
        </w:div>
        <w:div w:id="526412624">
          <w:marLeft w:val="0"/>
          <w:marRight w:val="0"/>
          <w:marTop w:val="0"/>
          <w:marBottom w:val="0"/>
          <w:divBdr>
            <w:top w:val="none" w:sz="0" w:space="0" w:color="auto"/>
            <w:left w:val="none" w:sz="0" w:space="0" w:color="auto"/>
            <w:bottom w:val="none" w:sz="0" w:space="0" w:color="auto"/>
            <w:right w:val="none" w:sz="0" w:space="0" w:color="auto"/>
          </w:divBdr>
        </w:div>
      </w:divsChild>
    </w:div>
    <w:div w:id="445542407">
      <w:bodyDiv w:val="1"/>
      <w:marLeft w:val="0"/>
      <w:marRight w:val="0"/>
      <w:marTop w:val="0"/>
      <w:marBottom w:val="0"/>
      <w:divBdr>
        <w:top w:val="none" w:sz="0" w:space="0" w:color="auto"/>
        <w:left w:val="none" w:sz="0" w:space="0" w:color="auto"/>
        <w:bottom w:val="none" w:sz="0" w:space="0" w:color="auto"/>
        <w:right w:val="none" w:sz="0" w:space="0" w:color="auto"/>
      </w:divBdr>
    </w:div>
    <w:div w:id="941883687">
      <w:bodyDiv w:val="1"/>
      <w:marLeft w:val="0"/>
      <w:marRight w:val="0"/>
      <w:marTop w:val="0"/>
      <w:marBottom w:val="0"/>
      <w:divBdr>
        <w:top w:val="none" w:sz="0" w:space="0" w:color="auto"/>
        <w:left w:val="none" w:sz="0" w:space="0" w:color="auto"/>
        <w:bottom w:val="none" w:sz="0" w:space="0" w:color="auto"/>
        <w:right w:val="none" w:sz="0" w:space="0" w:color="auto"/>
      </w:divBdr>
      <w:divsChild>
        <w:div w:id="1005674317">
          <w:marLeft w:val="0"/>
          <w:marRight w:val="0"/>
          <w:marTop w:val="0"/>
          <w:marBottom w:val="0"/>
          <w:divBdr>
            <w:top w:val="none" w:sz="0" w:space="0" w:color="auto"/>
            <w:left w:val="none" w:sz="0" w:space="0" w:color="auto"/>
            <w:bottom w:val="none" w:sz="0" w:space="0" w:color="auto"/>
            <w:right w:val="none" w:sz="0" w:space="0" w:color="auto"/>
          </w:divBdr>
        </w:div>
        <w:div w:id="880946546">
          <w:marLeft w:val="0"/>
          <w:marRight w:val="0"/>
          <w:marTop w:val="0"/>
          <w:marBottom w:val="0"/>
          <w:divBdr>
            <w:top w:val="none" w:sz="0" w:space="0" w:color="auto"/>
            <w:left w:val="none" w:sz="0" w:space="0" w:color="auto"/>
            <w:bottom w:val="none" w:sz="0" w:space="0" w:color="auto"/>
            <w:right w:val="none" w:sz="0" w:space="0" w:color="auto"/>
          </w:divBdr>
        </w:div>
        <w:div w:id="97457729">
          <w:marLeft w:val="0"/>
          <w:marRight w:val="0"/>
          <w:marTop w:val="0"/>
          <w:marBottom w:val="0"/>
          <w:divBdr>
            <w:top w:val="none" w:sz="0" w:space="0" w:color="auto"/>
            <w:left w:val="none" w:sz="0" w:space="0" w:color="auto"/>
            <w:bottom w:val="none" w:sz="0" w:space="0" w:color="auto"/>
            <w:right w:val="none" w:sz="0" w:space="0" w:color="auto"/>
          </w:divBdr>
        </w:div>
        <w:div w:id="1521310128">
          <w:marLeft w:val="0"/>
          <w:marRight w:val="0"/>
          <w:marTop w:val="0"/>
          <w:marBottom w:val="0"/>
          <w:divBdr>
            <w:top w:val="none" w:sz="0" w:space="0" w:color="auto"/>
            <w:left w:val="none" w:sz="0" w:space="0" w:color="auto"/>
            <w:bottom w:val="none" w:sz="0" w:space="0" w:color="auto"/>
            <w:right w:val="none" w:sz="0" w:space="0" w:color="auto"/>
          </w:divBdr>
        </w:div>
        <w:div w:id="1316492341">
          <w:marLeft w:val="0"/>
          <w:marRight w:val="0"/>
          <w:marTop w:val="0"/>
          <w:marBottom w:val="0"/>
          <w:divBdr>
            <w:top w:val="none" w:sz="0" w:space="0" w:color="auto"/>
            <w:left w:val="none" w:sz="0" w:space="0" w:color="auto"/>
            <w:bottom w:val="none" w:sz="0" w:space="0" w:color="auto"/>
            <w:right w:val="none" w:sz="0" w:space="0" w:color="auto"/>
          </w:divBdr>
        </w:div>
      </w:divsChild>
    </w:div>
    <w:div w:id="992444293">
      <w:bodyDiv w:val="1"/>
      <w:marLeft w:val="0"/>
      <w:marRight w:val="0"/>
      <w:marTop w:val="0"/>
      <w:marBottom w:val="0"/>
      <w:divBdr>
        <w:top w:val="none" w:sz="0" w:space="0" w:color="auto"/>
        <w:left w:val="none" w:sz="0" w:space="0" w:color="auto"/>
        <w:bottom w:val="none" w:sz="0" w:space="0" w:color="auto"/>
        <w:right w:val="none" w:sz="0" w:space="0" w:color="auto"/>
      </w:divBdr>
    </w:div>
    <w:div w:id="1181621456">
      <w:bodyDiv w:val="1"/>
      <w:marLeft w:val="0"/>
      <w:marRight w:val="0"/>
      <w:marTop w:val="0"/>
      <w:marBottom w:val="0"/>
      <w:divBdr>
        <w:top w:val="none" w:sz="0" w:space="0" w:color="auto"/>
        <w:left w:val="none" w:sz="0" w:space="0" w:color="auto"/>
        <w:bottom w:val="none" w:sz="0" w:space="0" w:color="auto"/>
        <w:right w:val="none" w:sz="0" w:space="0" w:color="auto"/>
      </w:divBdr>
      <w:divsChild>
        <w:div w:id="1800806177">
          <w:marLeft w:val="0"/>
          <w:marRight w:val="0"/>
          <w:marTop w:val="0"/>
          <w:marBottom w:val="0"/>
          <w:divBdr>
            <w:top w:val="none" w:sz="0" w:space="0" w:color="auto"/>
            <w:left w:val="none" w:sz="0" w:space="0" w:color="auto"/>
            <w:bottom w:val="none" w:sz="0" w:space="0" w:color="auto"/>
            <w:right w:val="none" w:sz="0" w:space="0" w:color="auto"/>
          </w:divBdr>
        </w:div>
      </w:divsChild>
    </w:div>
    <w:div w:id="1244409536">
      <w:bodyDiv w:val="1"/>
      <w:marLeft w:val="0"/>
      <w:marRight w:val="0"/>
      <w:marTop w:val="0"/>
      <w:marBottom w:val="0"/>
      <w:divBdr>
        <w:top w:val="none" w:sz="0" w:space="0" w:color="auto"/>
        <w:left w:val="none" w:sz="0" w:space="0" w:color="auto"/>
        <w:bottom w:val="none" w:sz="0" w:space="0" w:color="auto"/>
        <w:right w:val="none" w:sz="0" w:space="0" w:color="auto"/>
      </w:divBdr>
      <w:divsChild>
        <w:div w:id="987048814">
          <w:marLeft w:val="0"/>
          <w:marRight w:val="0"/>
          <w:marTop w:val="0"/>
          <w:marBottom w:val="0"/>
          <w:divBdr>
            <w:top w:val="none" w:sz="0" w:space="0" w:color="auto"/>
            <w:left w:val="none" w:sz="0" w:space="0" w:color="auto"/>
            <w:bottom w:val="none" w:sz="0" w:space="0" w:color="auto"/>
            <w:right w:val="none" w:sz="0" w:space="0" w:color="auto"/>
          </w:divBdr>
        </w:div>
        <w:div w:id="516308219">
          <w:marLeft w:val="0"/>
          <w:marRight w:val="0"/>
          <w:marTop w:val="0"/>
          <w:marBottom w:val="0"/>
          <w:divBdr>
            <w:top w:val="none" w:sz="0" w:space="0" w:color="auto"/>
            <w:left w:val="none" w:sz="0" w:space="0" w:color="auto"/>
            <w:bottom w:val="none" w:sz="0" w:space="0" w:color="auto"/>
            <w:right w:val="none" w:sz="0" w:space="0" w:color="auto"/>
          </w:divBdr>
        </w:div>
        <w:div w:id="369693766">
          <w:marLeft w:val="0"/>
          <w:marRight w:val="0"/>
          <w:marTop w:val="0"/>
          <w:marBottom w:val="0"/>
          <w:divBdr>
            <w:top w:val="none" w:sz="0" w:space="0" w:color="auto"/>
            <w:left w:val="none" w:sz="0" w:space="0" w:color="auto"/>
            <w:bottom w:val="none" w:sz="0" w:space="0" w:color="auto"/>
            <w:right w:val="none" w:sz="0" w:space="0" w:color="auto"/>
          </w:divBdr>
        </w:div>
        <w:div w:id="1615600549">
          <w:marLeft w:val="0"/>
          <w:marRight w:val="0"/>
          <w:marTop w:val="0"/>
          <w:marBottom w:val="0"/>
          <w:divBdr>
            <w:top w:val="none" w:sz="0" w:space="0" w:color="auto"/>
            <w:left w:val="none" w:sz="0" w:space="0" w:color="auto"/>
            <w:bottom w:val="none" w:sz="0" w:space="0" w:color="auto"/>
            <w:right w:val="none" w:sz="0" w:space="0" w:color="auto"/>
          </w:divBdr>
        </w:div>
        <w:div w:id="408625696">
          <w:marLeft w:val="0"/>
          <w:marRight w:val="0"/>
          <w:marTop w:val="0"/>
          <w:marBottom w:val="0"/>
          <w:divBdr>
            <w:top w:val="none" w:sz="0" w:space="0" w:color="auto"/>
            <w:left w:val="none" w:sz="0" w:space="0" w:color="auto"/>
            <w:bottom w:val="none" w:sz="0" w:space="0" w:color="auto"/>
            <w:right w:val="none" w:sz="0" w:space="0" w:color="auto"/>
          </w:divBdr>
        </w:div>
      </w:divsChild>
    </w:div>
    <w:div w:id="1401446757">
      <w:bodyDiv w:val="1"/>
      <w:marLeft w:val="0"/>
      <w:marRight w:val="0"/>
      <w:marTop w:val="0"/>
      <w:marBottom w:val="0"/>
      <w:divBdr>
        <w:top w:val="none" w:sz="0" w:space="0" w:color="auto"/>
        <w:left w:val="none" w:sz="0" w:space="0" w:color="auto"/>
        <w:bottom w:val="none" w:sz="0" w:space="0" w:color="auto"/>
        <w:right w:val="none" w:sz="0" w:space="0" w:color="auto"/>
      </w:divBdr>
    </w:div>
    <w:div w:id="1421489998">
      <w:bodyDiv w:val="1"/>
      <w:marLeft w:val="0"/>
      <w:marRight w:val="0"/>
      <w:marTop w:val="0"/>
      <w:marBottom w:val="0"/>
      <w:divBdr>
        <w:top w:val="none" w:sz="0" w:space="0" w:color="auto"/>
        <w:left w:val="none" w:sz="0" w:space="0" w:color="auto"/>
        <w:bottom w:val="none" w:sz="0" w:space="0" w:color="auto"/>
        <w:right w:val="none" w:sz="0" w:space="0" w:color="auto"/>
      </w:divBdr>
    </w:div>
    <w:div w:id="1664817402">
      <w:bodyDiv w:val="1"/>
      <w:marLeft w:val="0"/>
      <w:marRight w:val="0"/>
      <w:marTop w:val="0"/>
      <w:marBottom w:val="0"/>
      <w:divBdr>
        <w:top w:val="none" w:sz="0" w:space="0" w:color="auto"/>
        <w:left w:val="none" w:sz="0" w:space="0" w:color="auto"/>
        <w:bottom w:val="none" w:sz="0" w:space="0" w:color="auto"/>
        <w:right w:val="none" w:sz="0" w:space="0" w:color="auto"/>
      </w:divBdr>
    </w:div>
    <w:div w:id="1973517033">
      <w:bodyDiv w:val="1"/>
      <w:marLeft w:val="0"/>
      <w:marRight w:val="0"/>
      <w:marTop w:val="0"/>
      <w:marBottom w:val="0"/>
      <w:divBdr>
        <w:top w:val="none" w:sz="0" w:space="0" w:color="auto"/>
        <w:left w:val="none" w:sz="0" w:space="0" w:color="auto"/>
        <w:bottom w:val="none" w:sz="0" w:space="0" w:color="auto"/>
        <w:right w:val="none" w:sz="0" w:space="0" w:color="auto"/>
      </w:divBdr>
    </w:div>
    <w:div w:id="19999211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3650</Words>
  <Characters>20805</Characters>
  <Application>Microsoft Macintosh Word</Application>
  <DocSecurity>0</DocSecurity>
  <Lines>173</Lines>
  <Paragraphs>41</Paragraphs>
  <ScaleCrop>false</ScaleCrop>
  <Company>Attorney At Law</Company>
  <LinksUpToDate>false</LinksUpToDate>
  <CharactersWithSpaces>25550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Murdock</dc:creator>
  <cp:keywords/>
  <cp:lastModifiedBy>John Murdock</cp:lastModifiedBy>
  <cp:revision>2</cp:revision>
  <cp:lastPrinted>2015-01-09T02:59:00Z</cp:lastPrinted>
  <dcterms:created xsi:type="dcterms:W3CDTF">2015-01-09T03:00:00Z</dcterms:created>
  <dcterms:modified xsi:type="dcterms:W3CDTF">2015-01-09T03:00:00Z</dcterms:modified>
</cp:coreProperties>
</file>